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BC89E" w14:textId="77777777" w:rsidR="004538C1" w:rsidRPr="004538C1" w:rsidRDefault="004538C1" w:rsidP="004538C1">
      <w:pPr>
        <w:shd w:val="clear" w:color="auto" w:fill="FFFFFF"/>
        <w:spacing w:before="300" w:after="300" w:line="240" w:lineRule="auto"/>
        <w:outlineLvl w:val="2"/>
        <w:rPr>
          <w:rFonts w:ascii="Helvetica" w:eastAsia="Times New Roman" w:hAnsi="Helvetica" w:cs="Times New Roman"/>
          <w:color w:val="333333"/>
          <w:sz w:val="36"/>
          <w:szCs w:val="36"/>
        </w:rPr>
      </w:pPr>
      <w:r w:rsidRPr="004538C1">
        <w:rPr>
          <w:rFonts w:ascii="Helvetica" w:eastAsia="Times New Roman" w:hAnsi="Helvetica" w:cs="Times New Roman"/>
          <w:color w:val="333333"/>
          <w:sz w:val="36"/>
          <w:szCs w:val="36"/>
        </w:rPr>
        <w:t>Factsheet</w:t>
      </w:r>
    </w:p>
    <w:p w14:paraId="34BC1DD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i/>
          <w:iCs/>
          <w:color w:val="333333"/>
          <w:sz w:val="21"/>
          <w:szCs w:val="21"/>
        </w:rPr>
        <w:t>NDI: Public attitudes in Georgia </w:t>
      </w:r>
      <w:proofErr w:type="gramStart"/>
      <w:r w:rsidRPr="004538C1">
        <w:rPr>
          <w:rFonts w:ascii="Helvetica" w:eastAsia="Times New Roman" w:hAnsi="Helvetica" w:cs="Times New Roman"/>
          <w:color w:val="333333"/>
          <w:sz w:val="21"/>
          <w:szCs w:val="21"/>
        </w:rPr>
        <w:t>The</w:t>
      </w:r>
      <w:proofErr w:type="gramEnd"/>
      <w:r w:rsidRPr="004538C1">
        <w:rPr>
          <w:rFonts w:ascii="Helvetica" w:eastAsia="Times New Roman" w:hAnsi="Helvetica" w:cs="Times New Roman"/>
          <w:color w:val="333333"/>
          <w:sz w:val="21"/>
          <w:szCs w:val="21"/>
        </w:rPr>
        <w:t xml:space="preserve"> main objective of the study is to assess knowledge and attitudes of Georgian population towards political issues and ongoing events.</w:t>
      </w:r>
    </w:p>
    <w:p w14:paraId="2FD226D6"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Population:</w:t>
      </w:r>
      <w:r w:rsidRPr="004538C1">
        <w:rPr>
          <w:rFonts w:ascii="Helvetica" w:eastAsia="Times New Roman" w:hAnsi="Helvetica" w:cs="Times New Roman"/>
          <w:color w:val="333333"/>
          <w:sz w:val="21"/>
          <w:szCs w:val="21"/>
        </w:rPr>
        <w:t> Adult population (18 years old and over), excluding the populations living in territories affected by military conflict (South Ossetia and Abkhazia).</w:t>
      </w:r>
    </w:p>
    <w:p w14:paraId="2C28B62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In addition:</w:t>
      </w:r>
    </w:p>
    <w:p w14:paraId="30E020C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March 2023, December 2022, August 2022, March 2022, February 2022, December 2021, July 2021, February 2021, December 2020, August 2020, June 2020 - representative of Tbilisi, urban and rural areas of Georgia.</w:t>
      </w:r>
    </w:p>
    <w:p w14:paraId="21553CE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2019, July 2019, April 2019, December 2018, June 2018, March 2018, and December 2017 - representative of Tbilisi, large urban, small urban, rural areas of Georgia and minority settlements.</w:t>
      </w:r>
    </w:p>
    <w:p w14:paraId="5E0DDA2E"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2017, April 2017, November 2016, June 2016, and March 2016 - representative of Tbilisi, urban, rural areas of Georgia and minority settlements.</w:t>
      </w:r>
    </w:p>
    <w:p w14:paraId="5478115E"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2015 - representative of Tbilisi, urban and rural areas of Georgia.</w:t>
      </w:r>
    </w:p>
    <w:p w14:paraId="1D3F2A4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 xml:space="preserve">August 2015 - representative of urban, rural, East and West Georgia areas, as well as Georgian and non-Georgian speaking population. Additionally, representative sample is present for the self-governing cities of Tbilisi, Kutaisi, Batumi, Zugdidi, Gori, Telavi, Akhaltsikhe, Ozurgeti, Mtskheta and of </w:t>
      </w:r>
      <w:proofErr w:type="spellStart"/>
      <w:r w:rsidRPr="004538C1">
        <w:rPr>
          <w:rFonts w:ascii="Helvetica" w:eastAsia="Times New Roman" w:hAnsi="Helvetica" w:cs="Times New Roman"/>
          <w:color w:val="333333"/>
          <w:sz w:val="21"/>
          <w:szCs w:val="21"/>
        </w:rPr>
        <w:t>Gurjaani</w:t>
      </w:r>
      <w:proofErr w:type="spellEnd"/>
      <w:r w:rsidRPr="004538C1">
        <w:rPr>
          <w:rFonts w:ascii="Helvetica" w:eastAsia="Times New Roman" w:hAnsi="Helvetica" w:cs="Times New Roman"/>
          <w:color w:val="333333"/>
          <w:sz w:val="21"/>
          <w:szCs w:val="21"/>
        </w:rPr>
        <w:t xml:space="preserve"> municipality.</w:t>
      </w:r>
    </w:p>
    <w:p w14:paraId="1B44B0B2"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 xml:space="preserve">April 2015 - representative of Urban, Rural, East Georgia and West Georgia areas and settlements densely populated by ethnic minorities. Also, additional representative samples of the self-governing cities of Tbilisi, Kutaisi, Zugdidi, Batumi, Akhaltsikhe and the municipality of </w:t>
      </w:r>
      <w:proofErr w:type="spellStart"/>
      <w:r w:rsidRPr="004538C1">
        <w:rPr>
          <w:rFonts w:ascii="Helvetica" w:eastAsia="Times New Roman" w:hAnsi="Helvetica" w:cs="Times New Roman"/>
          <w:color w:val="333333"/>
          <w:sz w:val="21"/>
          <w:szCs w:val="21"/>
        </w:rPr>
        <w:t>Gurjaani</w:t>
      </w:r>
      <w:proofErr w:type="spellEnd"/>
      <w:r w:rsidRPr="004538C1">
        <w:rPr>
          <w:rFonts w:ascii="Helvetica" w:eastAsia="Times New Roman" w:hAnsi="Helvetica" w:cs="Times New Roman"/>
          <w:color w:val="333333"/>
          <w:sz w:val="21"/>
          <w:szCs w:val="21"/>
        </w:rPr>
        <w:t>.</w:t>
      </w:r>
    </w:p>
    <w:p w14:paraId="353B4F2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2014 - representative of Tbilisi, Telavi, Akhaltsikhe, Kutaisi, Zugdidi, Batumi, urban, rural, East Georgia and West Georgia areas of Georgia.</w:t>
      </w:r>
    </w:p>
    <w:p w14:paraId="3F58E86E"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2014 - representative of Tbilisi, Batumi, Poti, Telavi, Gori, Mtskheta, urban areas of East Georgia, urban areas of West Georgia, rural areas of East Georgia, and rural areas of West Georgia.</w:t>
      </w:r>
    </w:p>
    <w:p w14:paraId="50D9AC8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 xml:space="preserve">April 2014 - representative of urban, rural, East Georgia and West Georgia areas. Also, additional representative samples of 12 self-governing cities of Tbilisi, Kutaisi, Batumi, Poti, Rustavi, Gori, Akhaltsikhe, Ozurgeti, </w:t>
      </w:r>
      <w:proofErr w:type="spellStart"/>
      <w:r w:rsidRPr="004538C1">
        <w:rPr>
          <w:rFonts w:ascii="Helvetica" w:eastAsia="Times New Roman" w:hAnsi="Helvetica" w:cs="Times New Roman"/>
          <w:color w:val="333333"/>
          <w:sz w:val="21"/>
          <w:szCs w:val="21"/>
        </w:rPr>
        <w:t>Ambrolauri</w:t>
      </w:r>
      <w:proofErr w:type="spellEnd"/>
      <w:r w:rsidRPr="004538C1">
        <w:rPr>
          <w:rFonts w:ascii="Helvetica" w:eastAsia="Times New Roman" w:hAnsi="Helvetica" w:cs="Times New Roman"/>
          <w:color w:val="333333"/>
          <w:sz w:val="21"/>
          <w:szCs w:val="21"/>
        </w:rPr>
        <w:t>, Zugdidi, Telavi and Mtskheta.</w:t>
      </w:r>
    </w:p>
    <w:p w14:paraId="49BDD9A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Sample Design:</w:t>
      </w:r>
    </w:p>
    <w:p w14:paraId="1354484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2023, March 2022, February 2022, February 2021, December 2021, July 2021, December 2020, August 2020, June 2020 - Simple random sampling using random-digit-dial method.</w:t>
      </w:r>
    </w:p>
    <w:p w14:paraId="2366308D"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December 2022, August 2022, December 2019, July 2019, April 2019, December 2018, June 2018, March 2018, December 2017, June 2017, April 2017, November 2016, June 2016, March 2016, November 2015, August 2015, April 2015, October 2014, August 2014, and April 2014 - Multi-stage cluster sampling with preliminary stratification.</w:t>
      </w:r>
    </w:p>
    <w:p w14:paraId="226159C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Sample Size:</w:t>
      </w:r>
    </w:p>
    <w:p w14:paraId="0BBD145D"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2023 - 2,068 respondents.</w:t>
      </w:r>
    </w:p>
    <w:p w14:paraId="6FC2DFB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lastRenderedPageBreak/>
        <w:t>March 2023 - 1,032 respondents.</w:t>
      </w:r>
    </w:p>
    <w:p w14:paraId="220C741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2022 - 2,519 respondents.</w:t>
      </w:r>
    </w:p>
    <w:p w14:paraId="52CDD09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2022 - 2,104 respondents.</w:t>
      </w:r>
    </w:p>
    <w:p w14:paraId="3CC8534D"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2022 - 2,024 respondents.</w:t>
      </w:r>
    </w:p>
    <w:p w14:paraId="6C30830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February 2022 - 2,036 respondents.</w:t>
      </w:r>
    </w:p>
    <w:p w14:paraId="1C1F2CB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2021 - 2,099 respondents.</w:t>
      </w:r>
    </w:p>
    <w:p w14:paraId="730215B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July 2021 - 2,016 respondents.</w:t>
      </w:r>
    </w:p>
    <w:p w14:paraId="32079C5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February 2021 - 2,024 respondents.</w:t>
      </w:r>
    </w:p>
    <w:p w14:paraId="6904A81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2020 - 2,053 respondents.</w:t>
      </w:r>
    </w:p>
    <w:p w14:paraId="72B0697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2020 - 2,045 respondents.</w:t>
      </w:r>
    </w:p>
    <w:p w14:paraId="74CA090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2020 – 1,550 respondents.</w:t>
      </w:r>
    </w:p>
    <w:p w14:paraId="05C8A6C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2019 – 2,180 respondents.</w:t>
      </w:r>
    </w:p>
    <w:p w14:paraId="7DB2454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July 2019 – 2,131 respondents.</w:t>
      </w:r>
    </w:p>
    <w:p w14:paraId="3B17B43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2019 – 2,927 respondents.</w:t>
      </w:r>
    </w:p>
    <w:p w14:paraId="1769878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2018 – 2,205 respondents.</w:t>
      </w:r>
    </w:p>
    <w:p w14:paraId="468064C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2018 – 2,409 respondents.</w:t>
      </w:r>
    </w:p>
    <w:p w14:paraId="46A755B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2018 – 2,194 respondents.</w:t>
      </w:r>
    </w:p>
    <w:p w14:paraId="1C8F9656"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2017 – 2,298 respondents.</w:t>
      </w:r>
    </w:p>
    <w:p w14:paraId="4B8720B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2017 – 2,261 respondents.</w:t>
      </w:r>
    </w:p>
    <w:p w14:paraId="19FE93D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2017 – 2,493 respondents.</w:t>
      </w:r>
    </w:p>
    <w:p w14:paraId="5679D7D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2016 – 3,141 respondents.</w:t>
      </w:r>
    </w:p>
    <w:p w14:paraId="1B5A83A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2016 – 4,113 respondents.</w:t>
      </w:r>
    </w:p>
    <w:p w14:paraId="7A78DBF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2016 – 3,900 respondents.</w:t>
      </w:r>
    </w:p>
    <w:p w14:paraId="099B1462"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2015 – 1,881 respondents.</w:t>
      </w:r>
    </w:p>
    <w:p w14:paraId="1D69A71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2015 – 4,448 respondents.</w:t>
      </w:r>
    </w:p>
    <w:p w14:paraId="793B7BE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2015 – 4,360 respondents.</w:t>
      </w:r>
    </w:p>
    <w:p w14:paraId="7A0E7F9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2014 – 3,885 respondents.</w:t>
      </w:r>
    </w:p>
    <w:p w14:paraId="19411F12"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2014 – 3,338 respondents.</w:t>
      </w:r>
    </w:p>
    <w:p w14:paraId="7251A1F8"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2014 – 3,942 respondents.</w:t>
      </w:r>
    </w:p>
    <w:p w14:paraId="40BF9C48"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Response rate:</w:t>
      </w:r>
    </w:p>
    <w:p w14:paraId="11DB534C"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2023 - 28%</w:t>
      </w:r>
    </w:p>
    <w:p w14:paraId="2617359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2023 - 14%</w:t>
      </w:r>
    </w:p>
    <w:p w14:paraId="6370D24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2022 - 29%</w:t>
      </w:r>
    </w:p>
    <w:p w14:paraId="7A3FCC8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lastRenderedPageBreak/>
        <w:t>August 2022 - 28%</w:t>
      </w:r>
    </w:p>
    <w:p w14:paraId="7C953B1D"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2022 - 18%</w:t>
      </w:r>
    </w:p>
    <w:p w14:paraId="0409C80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February 2022 - 18%</w:t>
      </w:r>
    </w:p>
    <w:p w14:paraId="064BEEE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2021 - 22%</w:t>
      </w:r>
    </w:p>
    <w:p w14:paraId="2A1870B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July 2021 - 23%</w:t>
      </w:r>
    </w:p>
    <w:p w14:paraId="06A874F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February 2021 - 25%</w:t>
      </w:r>
    </w:p>
    <w:p w14:paraId="079D18AE"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2020 - 28%</w:t>
      </w:r>
    </w:p>
    <w:p w14:paraId="30C88DF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2020 - 29%</w:t>
      </w:r>
    </w:p>
    <w:p w14:paraId="18FB5D3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2020 – 35%</w:t>
      </w:r>
    </w:p>
    <w:p w14:paraId="7E3456C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2019 – 35%</w:t>
      </w:r>
    </w:p>
    <w:p w14:paraId="38F11E6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July 2019 – 41%</w:t>
      </w:r>
    </w:p>
    <w:p w14:paraId="15282BAA"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2019 – 48%</w:t>
      </w:r>
    </w:p>
    <w:p w14:paraId="411FCED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2018 – 45%</w:t>
      </w:r>
    </w:p>
    <w:p w14:paraId="7C4F86F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2018 – 49%</w:t>
      </w:r>
    </w:p>
    <w:p w14:paraId="11F8AE2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2018 – 46%</w:t>
      </w:r>
    </w:p>
    <w:p w14:paraId="0C3E0FD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2017 – 48%</w:t>
      </w:r>
    </w:p>
    <w:p w14:paraId="43F3A19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2017 – 55%</w:t>
      </w:r>
    </w:p>
    <w:p w14:paraId="748B3E46"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2017 – 67%</w:t>
      </w:r>
    </w:p>
    <w:p w14:paraId="1CE0FF8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2016 – 65%</w:t>
      </w:r>
    </w:p>
    <w:p w14:paraId="7EB716A2"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2016 – 62%</w:t>
      </w:r>
    </w:p>
    <w:p w14:paraId="50EC411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2016 – 61%</w:t>
      </w:r>
    </w:p>
    <w:p w14:paraId="1289A2C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2015 – 56%</w:t>
      </w:r>
    </w:p>
    <w:p w14:paraId="4535EE6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2015 – 66%</w:t>
      </w:r>
    </w:p>
    <w:p w14:paraId="4107BDE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2015 – 75%</w:t>
      </w:r>
    </w:p>
    <w:p w14:paraId="610D5AF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2014 – 68%</w:t>
      </w:r>
    </w:p>
    <w:p w14:paraId="5867FFA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2014 – 61%</w:t>
      </w:r>
    </w:p>
    <w:p w14:paraId="28C7E43E"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2014 – 66%</w:t>
      </w:r>
    </w:p>
    <w:p w14:paraId="178BDCF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Survey mode:</w:t>
      </w:r>
    </w:p>
    <w:p w14:paraId="6BA7C8CA"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2023, March 2022, February 2022, February 2021, December 2021, July 2021, February 2021, December 2020, August 2020, June 2020 - Computer-assisted telephone interview (CATI).</w:t>
      </w:r>
    </w:p>
    <w:p w14:paraId="1ECED2EA"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December 2022, August 2022, December 2019, July 2019, April 2019, December 2018, June 2018, March 2018, December 2017, June 2017, April 2017, November 2016, June 2016, March 2016, November 2015, August 2015, April 2015, October 2014, August 2014, and April 2014 - Computer-assisted personal interview (CAPI).</w:t>
      </w:r>
    </w:p>
    <w:p w14:paraId="7F7E134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Interview languages:</w:t>
      </w:r>
    </w:p>
    <w:p w14:paraId="22B67472"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lastRenderedPageBreak/>
        <w:t>March 2023, March 2022, February 2022, February 2021, December 2021, July 2021, February 2021, December 2020, August 2020, and June 2020 - Georgian, Armenian, Azerbaijani, and Russian.</w:t>
      </w:r>
    </w:p>
    <w:p w14:paraId="4C9DF16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December 2022, August 2022, December 2019, July 2019, April 2019, December 2018, June 2018, March 2018, December 2017, June 2017, April 2017, November 2016, June 2016, March 2016, and August 2015 - Georgian, Armenian, and Azerbaijani.</w:t>
      </w:r>
    </w:p>
    <w:p w14:paraId="624230BD"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2015, April 2015, October 2014, August 2014, and April 2014 – Georgian.</w:t>
      </w:r>
    </w:p>
    <w:p w14:paraId="2054B15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Fieldwork Dates:</w:t>
      </w:r>
    </w:p>
    <w:p w14:paraId="6C23C838"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October 2023 - October 12, 2023 to November 4, 2023</w:t>
      </w:r>
    </w:p>
    <w:p w14:paraId="33C4EAF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2023 - March 17, 2023 to March 23, 2023.</w:t>
      </w:r>
    </w:p>
    <w:p w14:paraId="2477628C"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2022 - December 3, 2022 to December 20, 2022.</w:t>
      </w:r>
    </w:p>
    <w:p w14:paraId="130C53A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2022 - July 14, 2022 to August 15, 2022.</w:t>
      </w:r>
    </w:p>
    <w:p w14:paraId="5AF1E962"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2022 - March 9, 2022 to March 20, 2022.</w:t>
      </w:r>
    </w:p>
    <w:p w14:paraId="0D934BE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February 2022 - February 3, 2022 to February 15, 2022.</w:t>
      </w:r>
    </w:p>
    <w:p w14:paraId="66D323E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2021 - December 7, 2021 to December 13, 2021.</w:t>
      </w:r>
    </w:p>
    <w:p w14:paraId="4D14FFA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July 2021 - July 13, 2021 to July 25, 2021.</w:t>
      </w:r>
    </w:p>
    <w:p w14:paraId="399F8B7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February 2021 - February 17, 2021 to February 24, 2021.</w:t>
      </w:r>
    </w:p>
    <w:p w14:paraId="38B74FF8"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2020 - December 17, 2020 to December 24, 2020.</w:t>
      </w:r>
    </w:p>
    <w:p w14:paraId="6B83A5D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2020 - August 6, 2020 to August 11, 2020.</w:t>
      </w:r>
    </w:p>
    <w:p w14:paraId="347E5DFC"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2020 - June 26, 2020 to June 30, 2020.</w:t>
      </w:r>
    </w:p>
    <w:p w14:paraId="6EE8529A"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2019 - November 19, 2019 to December 13, 2019.</w:t>
      </w:r>
    </w:p>
    <w:p w14:paraId="61B5D7C7"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July 2019 - July 13, 2019 to July 29, 2019.</w:t>
      </w:r>
    </w:p>
    <w:p w14:paraId="1823D49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2019 - March 28, 2019 to April 15, 2019.</w:t>
      </w:r>
    </w:p>
    <w:p w14:paraId="31A09DB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2018 - December 6, 2018 to December 20, 2018.</w:t>
      </w:r>
    </w:p>
    <w:p w14:paraId="79D074E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2018 - June 23, 2018 to July 8, 2018.</w:t>
      </w:r>
    </w:p>
    <w:p w14:paraId="4D2113C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2018 - March 20, 2018 to April 4, 2018.</w:t>
      </w:r>
    </w:p>
    <w:p w14:paraId="08FFFDE1"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December 2017 - November 29, 2017 to December 19, 2017.</w:t>
      </w:r>
    </w:p>
    <w:p w14:paraId="5FBB52A4"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2017 - June 18, 2017 to July 9, 2017.</w:t>
      </w:r>
    </w:p>
    <w:p w14:paraId="305E365F"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2017 - April 7, 2017 to April 28, 2017.</w:t>
      </w:r>
    </w:p>
    <w:p w14:paraId="2958975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2016 - November 4, 2016 to December 4, 2016.</w:t>
      </w:r>
    </w:p>
    <w:p w14:paraId="46B3446B"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June 2016 - June 8, 2016 to July 6, 2016.</w:t>
      </w:r>
    </w:p>
    <w:p w14:paraId="665485D9"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March 2016 - February 23, 2016 to March 14, 2016.</w:t>
      </w:r>
    </w:p>
    <w:p w14:paraId="539FD2E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November 2015 - November 17, 2015 to December 7, 2015.</w:t>
      </w:r>
    </w:p>
    <w:p w14:paraId="356A2E6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2015 - August 8, 2015 to September 10, 2015.</w:t>
      </w:r>
    </w:p>
    <w:p w14:paraId="4581DF88"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2015 - March 27, 2015 to April 19, 2015.</w:t>
      </w:r>
    </w:p>
    <w:p w14:paraId="2269494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lastRenderedPageBreak/>
        <w:t>October 2014 - October 10, 2014 to October 30, 2014.</w:t>
      </w:r>
    </w:p>
    <w:p w14:paraId="3C2C558C"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August 2014 - July 23, 2014 to August 7, 2014.</w:t>
      </w:r>
    </w:p>
    <w:p w14:paraId="0BDABD45"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color w:val="333333"/>
          <w:sz w:val="21"/>
          <w:szCs w:val="21"/>
        </w:rPr>
        <w:t>April 2014 - March 26, 2014 to April 18, 2014.</w:t>
      </w:r>
    </w:p>
    <w:p w14:paraId="619BB8A3"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Results are weighted.</w:t>
      </w:r>
    </w:p>
    <w:p w14:paraId="2E072460" w14:textId="77777777" w:rsidR="004538C1" w:rsidRPr="004538C1" w:rsidRDefault="004538C1" w:rsidP="004538C1">
      <w:pPr>
        <w:shd w:val="clear" w:color="auto" w:fill="FFFFFF"/>
        <w:spacing w:after="150" w:line="240" w:lineRule="auto"/>
        <w:rPr>
          <w:rFonts w:ascii="Helvetica" w:eastAsia="Times New Roman" w:hAnsi="Helvetica" w:cs="Times New Roman"/>
          <w:color w:val="333333"/>
          <w:sz w:val="21"/>
          <w:szCs w:val="21"/>
        </w:rPr>
      </w:pPr>
      <w:r w:rsidRPr="004538C1">
        <w:rPr>
          <w:rFonts w:ascii="Helvetica" w:eastAsia="Times New Roman" w:hAnsi="Helvetica" w:cs="Times New Roman"/>
          <w:b/>
          <w:bCs/>
          <w:color w:val="333333"/>
          <w:sz w:val="21"/>
          <w:szCs w:val="21"/>
        </w:rPr>
        <w:t>Contact for more Information:</w:t>
      </w:r>
      <w:r w:rsidRPr="004538C1">
        <w:rPr>
          <w:rFonts w:ascii="Helvetica" w:eastAsia="Times New Roman" w:hAnsi="Helvetica" w:cs="Times New Roman"/>
          <w:color w:val="333333"/>
          <w:sz w:val="21"/>
          <w:szCs w:val="21"/>
        </w:rPr>
        <w:t xml:space="preserve"> Tinatin </w:t>
      </w:r>
      <w:proofErr w:type="spellStart"/>
      <w:r w:rsidRPr="004538C1">
        <w:rPr>
          <w:rFonts w:ascii="Helvetica" w:eastAsia="Times New Roman" w:hAnsi="Helvetica" w:cs="Times New Roman"/>
          <w:color w:val="333333"/>
          <w:sz w:val="21"/>
          <w:szCs w:val="21"/>
        </w:rPr>
        <w:t>Bandzeladze</w:t>
      </w:r>
      <w:proofErr w:type="spellEnd"/>
      <w:r w:rsidRPr="004538C1">
        <w:rPr>
          <w:rFonts w:ascii="Helvetica" w:eastAsia="Times New Roman" w:hAnsi="Helvetica" w:cs="Times New Roman"/>
          <w:color w:val="333333"/>
          <w:sz w:val="21"/>
          <w:szCs w:val="21"/>
        </w:rPr>
        <w:t>, Senior Researcher, </w:t>
      </w:r>
      <w:hyperlink r:id="rId4" w:history="1">
        <w:r w:rsidRPr="004538C1">
          <w:rPr>
            <w:rFonts w:ascii="Helvetica" w:eastAsia="Times New Roman" w:hAnsi="Helvetica" w:cs="Times New Roman"/>
            <w:color w:val="337AB7"/>
            <w:sz w:val="21"/>
            <w:szCs w:val="21"/>
            <w:u w:val="single"/>
          </w:rPr>
          <w:t>t.bandzeladze@crrccenters.org</w:t>
        </w:r>
      </w:hyperlink>
    </w:p>
    <w:p w14:paraId="2A21BF7A" w14:textId="77777777" w:rsidR="003703D0" w:rsidRDefault="003703D0"/>
    <w:sectPr w:rsidR="003703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8C1"/>
    <w:rsid w:val="003703D0"/>
    <w:rsid w:val="00453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7D6D"/>
  <w15:chartTrackingRefBased/>
  <w15:docId w15:val="{A1961B02-563E-4FF3-810F-B6C603A3D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538C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38C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538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538C1"/>
    <w:rPr>
      <w:i/>
      <w:iCs/>
    </w:rPr>
  </w:style>
  <w:style w:type="character" w:styleId="Strong">
    <w:name w:val="Strong"/>
    <w:basedOn w:val="DefaultParagraphFont"/>
    <w:uiPriority w:val="22"/>
    <w:qFormat/>
    <w:rsid w:val="004538C1"/>
    <w:rPr>
      <w:b/>
      <w:bCs/>
    </w:rPr>
  </w:style>
  <w:style w:type="character" w:styleId="Hyperlink">
    <w:name w:val="Hyperlink"/>
    <w:basedOn w:val="DefaultParagraphFont"/>
    <w:uiPriority w:val="99"/>
    <w:semiHidden/>
    <w:unhideWhenUsed/>
    <w:rsid w:val="004538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50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20t.bandzeladze@crrccent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1054</Words>
  <Characters>6008</Characters>
  <Application>Microsoft Office Word</Application>
  <DocSecurity>0</DocSecurity>
  <Lines>50</Lines>
  <Paragraphs>14</Paragraphs>
  <ScaleCrop>false</ScaleCrop>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1</cp:revision>
  <dcterms:created xsi:type="dcterms:W3CDTF">2026-02-23T09:20:00Z</dcterms:created>
  <dcterms:modified xsi:type="dcterms:W3CDTF">2026-02-23T09:21:00Z</dcterms:modified>
</cp:coreProperties>
</file>