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29E4B" w14:textId="77777777" w:rsidR="003A1FF4" w:rsidRDefault="00432A9F" w:rsidP="003A1FF4">
      <w:pPr>
        <w:pStyle w:val="Heading1"/>
        <w:spacing w:before="0" w:line="480" w:lineRule="auto"/>
        <w:ind w:left="0" w:firstLine="0"/>
      </w:pPr>
      <w:r>
        <w:t>2015 Caucasus Barometer</w:t>
      </w:r>
      <w:r w:rsidR="003A1FF4" w:rsidRPr="003A1FF4">
        <w:t xml:space="preserve"> </w:t>
      </w:r>
    </w:p>
    <w:p w14:paraId="77D37AB5" w14:textId="2928C71F" w:rsidR="005663AA" w:rsidRDefault="003A1FF4" w:rsidP="003A1FF4">
      <w:pPr>
        <w:pStyle w:val="Heading1"/>
        <w:spacing w:before="0" w:line="480" w:lineRule="auto"/>
        <w:ind w:left="0" w:firstLine="0"/>
      </w:pPr>
      <w:r>
        <w:t xml:space="preserve">Sampling </w:t>
      </w:r>
    </w:p>
    <w:p w14:paraId="2392EF98" w14:textId="77777777" w:rsidR="003A1FF4" w:rsidRDefault="003A1FF4" w:rsidP="003A1FF4">
      <w:pPr>
        <w:pStyle w:val="Heading2"/>
        <w:spacing w:before="0" w:line="480" w:lineRule="auto"/>
        <w:ind w:left="0" w:firstLine="0"/>
      </w:pPr>
    </w:p>
    <w:p w14:paraId="4581CC2F" w14:textId="0BE9B0A8" w:rsidR="0096323B" w:rsidRDefault="0096323B" w:rsidP="003A1FF4">
      <w:pPr>
        <w:pStyle w:val="Heading2"/>
        <w:spacing w:before="0" w:line="480" w:lineRule="auto"/>
        <w:ind w:left="0" w:firstLine="0"/>
      </w:pPr>
      <w:r>
        <w:t>General description</w:t>
      </w:r>
    </w:p>
    <w:p w14:paraId="68B7A7D0" w14:textId="1ED682FE" w:rsidR="0096323B" w:rsidRDefault="0096323B" w:rsidP="003A1FF4">
      <w:pPr>
        <w:spacing w:after="0" w:line="480" w:lineRule="auto"/>
        <w:ind w:left="0" w:firstLine="0"/>
        <w:rPr>
          <w:sz w:val="24"/>
        </w:rPr>
      </w:pPr>
      <w:r w:rsidRPr="00F42CAD">
        <w:rPr>
          <w:sz w:val="24"/>
        </w:rPr>
        <w:t xml:space="preserve">The 2015 Caucasus Barometer survey </w:t>
      </w:r>
      <w:r>
        <w:rPr>
          <w:sz w:val="24"/>
        </w:rPr>
        <w:t xml:space="preserve">sampling </w:t>
      </w:r>
      <w:r w:rsidRPr="007470AC">
        <w:rPr>
          <w:rFonts w:asciiTheme="minorHAnsi" w:hAnsiTheme="minorHAnsi"/>
          <w:sz w:val="24"/>
        </w:rPr>
        <w:t xml:space="preserve">design </w:t>
      </w:r>
      <w:r w:rsidR="001B2C19" w:rsidRPr="007470AC">
        <w:rPr>
          <w:rFonts w:asciiTheme="minorHAnsi" w:hAnsiTheme="minorHAnsi"/>
          <w:sz w:val="24"/>
        </w:rPr>
        <w:t xml:space="preserve">in Armenia and Georgia </w:t>
      </w:r>
      <w:r w:rsidR="001A2851" w:rsidRPr="007470AC">
        <w:rPr>
          <w:rFonts w:asciiTheme="minorHAnsi" w:hAnsiTheme="minorHAnsi"/>
          <w:sz w:val="24"/>
        </w:rPr>
        <w:t>is</w:t>
      </w:r>
      <w:r w:rsidRPr="007470AC">
        <w:rPr>
          <w:rFonts w:asciiTheme="minorHAnsi" w:hAnsiTheme="minorHAnsi"/>
          <w:sz w:val="24"/>
        </w:rPr>
        <w:t xml:space="preserve"> similar</w:t>
      </w:r>
      <w:r>
        <w:rPr>
          <w:sz w:val="24"/>
        </w:rPr>
        <w:t xml:space="preserve"> to the 2013 and earlier </w:t>
      </w:r>
      <w:r w:rsidRPr="00F42CAD">
        <w:rPr>
          <w:sz w:val="24"/>
        </w:rPr>
        <w:t xml:space="preserve">Caucasus Barometer </w:t>
      </w:r>
      <w:r>
        <w:rPr>
          <w:sz w:val="24"/>
        </w:rPr>
        <w:t>survey designs, in order to ensure comparability of the data</w:t>
      </w:r>
      <w:r w:rsidR="007470AC">
        <w:rPr>
          <w:sz w:val="24"/>
        </w:rPr>
        <w:t xml:space="preserve"> over time</w:t>
      </w:r>
      <w:r>
        <w:rPr>
          <w:sz w:val="24"/>
        </w:rPr>
        <w:t xml:space="preserve">. The changes </w:t>
      </w:r>
      <w:r w:rsidR="001A2851">
        <w:rPr>
          <w:sz w:val="24"/>
        </w:rPr>
        <w:t>were</w:t>
      </w:r>
      <w:r>
        <w:rPr>
          <w:sz w:val="24"/>
        </w:rPr>
        <w:t xml:space="preserve"> made to the cluster sample sizes. These changes do not affect the comparability and will be described below.</w:t>
      </w:r>
    </w:p>
    <w:p w14:paraId="3786F5D7" w14:textId="266C0CAA" w:rsidR="00BD2CF4" w:rsidRDefault="0096323B" w:rsidP="003A1FF4">
      <w:pPr>
        <w:spacing w:after="0" w:line="480" w:lineRule="auto"/>
        <w:ind w:left="0" w:firstLine="0"/>
        <w:rPr>
          <w:sz w:val="24"/>
        </w:rPr>
      </w:pPr>
      <w:r>
        <w:rPr>
          <w:sz w:val="24"/>
        </w:rPr>
        <w:t>The target population</w:t>
      </w:r>
      <w:r w:rsidR="001A2851">
        <w:rPr>
          <w:sz w:val="24"/>
        </w:rPr>
        <w:t>s</w:t>
      </w:r>
      <w:r>
        <w:rPr>
          <w:sz w:val="24"/>
        </w:rPr>
        <w:t xml:space="preserve"> of the survey </w:t>
      </w:r>
      <w:r w:rsidR="001A2851">
        <w:rPr>
          <w:sz w:val="24"/>
        </w:rPr>
        <w:t>are</w:t>
      </w:r>
      <w:r>
        <w:rPr>
          <w:sz w:val="24"/>
        </w:rPr>
        <w:t xml:space="preserve"> </w:t>
      </w:r>
      <w:r w:rsidR="001A2851">
        <w:rPr>
          <w:sz w:val="24"/>
        </w:rPr>
        <w:t xml:space="preserve">adult (18 years and older) residents of Armenia and Georgia, excluding population of the conflict affected territories of Abkhazia, South Ossetia and Mountainous Karabakh. The interview languages </w:t>
      </w:r>
      <w:r w:rsidR="00BD2CF4">
        <w:rPr>
          <w:sz w:val="24"/>
        </w:rPr>
        <w:t>are Armenian in Armenia and Georgian, Armenian and Azer</w:t>
      </w:r>
      <w:r w:rsidR="007470AC">
        <w:rPr>
          <w:sz w:val="24"/>
        </w:rPr>
        <w:t>baijan</w:t>
      </w:r>
      <w:r w:rsidR="00BD2CF4">
        <w:rPr>
          <w:sz w:val="24"/>
        </w:rPr>
        <w:t xml:space="preserve">i </w:t>
      </w:r>
      <w:r w:rsidR="001A2851">
        <w:rPr>
          <w:sz w:val="24"/>
        </w:rPr>
        <w:t>in Georgia</w:t>
      </w:r>
      <w:r w:rsidR="00BD2CF4">
        <w:rPr>
          <w:sz w:val="24"/>
        </w:rPr>
        <w:t xml:space="preserve">. The population who is not able to respond in available languages are excluded from the sample. </w:t>
      </w:r>
    </w:p>
    <w:p w14:paraId="6FEF141A" w14:textId="18CBA435" w:rsidR="0096323B" w:rsidRDefault="00BD2CF4" w:rsidP="003A1FF4">
      <w:pPr>
        <w:spacing w:after="0" w:line="480" w:lineRule="auto"/>
        <w:ind w:left="0" w:firstLine="0"/>
        <w:rPr>
          <w:sz w:val="24"/>
        </w:rPr>
      </w:pPr>
      <w:r>
        <w:rPr>
          <w:sz w:val="24"/>
        </w:rPr>
        <w:t xml:space="preserve">The sample is representative for the population of each country as a whole, as well for residents of capital, other urban and rural areas of each country as separate. </w:t>
      </w:r>
    </w:p>
    <w:p w14:paraId="68572C6F" w14:textId="77777777" w:rsidR="00787215" w:rsidRDefault="00BD2CF4" w:rsidP="003A1FF4">
      <w:pPr>
        <w:spacing w:after="0" w:line="480" w:lineRule="auto"/>
        <w:ind w:left="0" w:firstLine="0"/>
        <w:rPr>
          <w:sz w:val="24"/>
        </w:rPr>
      </w:pPr>
      <w:r>
        <w:rPr>
          <w:sz w:val="24"/>
        </w:rPr>
        <w:t>The sample design in both country is stratified multistage clustered sample.</w:t>
      </w:r>
      <w:r w:rsidR="00667CEE">
        <w:rPr>
          <w:sz w:val="24"/>
        </w:rPr>
        <w:t xml:space="preserve"> </w:t>
      </w:r>
    </w:p>
    <w:p w14:paraId="45FA13AA" w14:textId="73507AB5" w:rsidR="00667CEE" w:rsidRDefault="00667CEE" w:rsidP="003A1FF4">
      <w:pPr>
        <w:spacing w:after="0" w:line="480" w:lineRule="auto"/>
        <w:ind w:left="0" w:firstLine="0"/>
      </w:pPr>
      <w:r w:rsidRPr="00AB5E39">
        <w:rPr>
          <w:rFonts w:cs="Calibri"/>
          <w:sz w:val="24"/>
          <w:szCs w:val="24"/>
        </w:rPr>
        <w:t xml:space="preserve">Lists of the voting precincts were used as sampling frames in </w:t>
      </w:r>
      <w:r>
        <w:rPr>
          <w:rFonts w:cs="Calibri"/>
          <w:sz w:val="24"/>
          <w:szCs w:val="24"/>
        </w:rPr>
        <w:t>both</w:t>
      </w:r>
      <w:r w:rsidRPr="00AB5E39">
        <w:rPr>
          <w:rFonts w:cs="Calibri"/>
          <w:sz w:val="24"/>
          <w:szCs w:val="24"/>
        </w:rPr>
        <w:t xml:space="preserve"> countries.</w:t>
      </w:r>
    </w:p>
    <w:p w14:paraId="64CAD311" w14:textId="77777777" w:rsidR="00787215" w:rsidRDefault="00787215" w:rsidP="003A1FF4">
      <w:pPr>
        <w:pStyle w:val="Heading2"/>
        <w:spacing w:before="0" w:line="480" w:lineRule="auto"/>
        <w:ind w:left="0" w:firstLine="0"/>
      </w:pPr>
    </w:p>
    <w:p w14:paraId="07176F90" w14:textId="73AE659A" w:rsidR="005663AA" w:rsidRDefault="005663AA" w:rsidP="003A1FF4">
      <w:pPr>
        <w:pStyle w:val="Heading2"/>
        <w:spacing w:before="0" w:line="480" w:lineRule="auto"/>
        <w:ind w:left="0" w:firstLine="0"/>
      </w:pPr>
      <w:r>
        <w:t xml:space="preserve">Stratification </w:t>
      </w:r>
    </w:p>
    <w:p w14:paraId="291F99E4" w14:textId="6CB9AA30" w:rsidR="00F42CAD" w:rsidRPr="00AB5E39" w:rsidRDefault="00F42CAD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 w:rsidRPr="00AB5E39">
        <w:rPr>
          <w:rFonts w:cs="Calibri"/>
          <w:sz w:val="24"/>
          <w:szCs w:val="24"/>
        </w:rPr>
        <w:t xml:space="preserve">Population of </w:t>
      </w:r>
      <w:r w:rsidR="001B2C19">
        <w:rPr>
          <w:rFonts w:cs="Calibri"/>
          <w:sz w:val="24"/>
          <w:szCs w:val="24"/>
        </w:rPr>
        <w:t>both Armenia and Georgia</w:t>
      </w:r>
      <w:r w:rsidRPr="00AB5E39">
        <w:rPr>
          <w:rFonts w:cs="Calibri"/>
          <w:sz w:val="24"/>
          <w:szCs w:val="24"/>
        </w:rPr>
        <w:t xml:space="preserve"> was broken down into three strata: residents of the capital, other urban settlements and rural settlements. </w:t>
      </w:r>
    </w:p>
    <w:p w14:paraId="3C5F8A9B" w14:textId="29C2D3B9" w:rsidR="00F42CAD" w:rsidRPr="00AB5E39" w:rsidRDefault="00F42CAD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 w:rsidRPr="00AB5E39">
        <w:rPr>
          <w:rFonts w:cs="Calibri"/>
          <w:sz w:val="24"/>
          <w:szCs w:val="24"/>
        </w:rPr>
        <w:lastRenderedPageBreak/>
        <w:t xml:space="preserve">Sample size was calculated at 95% confidence level, independently for each stratum, which enables inferring survey results for the whole population of </w:t>
      </w:r>
      <w:r w:rsidR="001B2C19">
        <w:rPr>
          <w:rFonts w:cs="Calibri"/>
          <w:sz w:val="24"/>
          <w:szCs w:val="24"/>
        </w:rPr>
        <w:t>Armenia and Georgia</w:t>
      </w:r>
      <w:r w:rsidR="001B2C19" w:rsidRPr="00AB5E39">
        <w:rPr>
          <w:rFonts w:cs="Calibri"/>
          <w:sz w:val="24"/>
          <w:szCs w:val="24"/>
        </w:rPr>
        <w:t xml:space="preserve"> </w:t>
      </w:r>
      <w:r w:rsidRPr="00AB5E39">
        <w:rPr>
          <w:rFonts w:cs="Calibri"/>
          <w:sz w:val="24"/>
          <w:szCs w:val="24"/>
        </w:rPr>
        <w:t>as well as for capital, urban and rural populations separately</w:t>
      </w:r>
      <w:r w:rsidR="001B2C19">
        <w:rPr>
          <w:rFonts w:cs="Calibri"/>
          <w:sz w:val="24"/>
          <w:szCs w:val="24"/>
        </w:rPr>
        <w:t xml:space="preserve"> in each country</w:t>
      </w:r>
      <w:r w:rsidRPr="00AB5E39">
        <w:rPr>
          <w:rFonts w:cs="Calibri"/>
          <w:sz w:val="24"/>
          <w:szCs w:val="24"/>
        </w:rPr>
        <w:t>. The factors that influence the sample size are number of population subgroups to be represented</w:t>
      </w:r>
      <w:r w:rsidR="007924ED">
        <w:rPr>
          <w:rFonts w:ascii="Sylfaen" w:hAnsi="Sylfaen" w:cs="Calibri"/>
          <w:sz w:val="24"/>
          <w:szCs w:val="24"/>
          <w:lang w:val="ka-GE"/>
        </w:rPr>
        <w:t xml:space="preserve"> </w:t>
      </w:r>
      <w:r w:rsidR="007924ED" w:rsidRPr="0006170E">
        <w:rPr>
          <w:rFonts w:cs="Calibri"/>
          <w:sz w:val="24"/>
          <w:szCs w:val="24"/>
        </w:rPr>
        <w:t xml:space="preserve">(capital/urban/rural </w:t>
      </w:r>
      <w:r w:rsidR="007924ED">
        <w:rPr>
          <w:rFonts w:cs="Calibri"/>
          <w:sz w:val="24"/>
          <w:szCs w:val="24"/>
        </w:rPr>
        <w:t>in our case</w:t>
      </w:r>
      <w:r w:rsidR="007924ED" w:rsidRPr="0006170E">
        <w:rPr>
          <w:rFonts w:cs="Calibri"/>
          <w:sz w:val="24"/>
          <w:szCs w:val="24"/>
        </w:rPr>
        <w:t>)</w:t>
      </w:r>
      <w:r w:rsidRPr="00AB5E39">
        <w:rPr>
          <w:rFonts w:cs="Calibri"/>
          <w:sz w:val="24"/>
          <w:szCs w:val="24"/>
        </w:rPr>
        <w:t>, targeted margin of error</w:t>
      </w:r>
      <w:r w:rsidR="007924ED">
        <w:rPr>
          <w:rFonts w:cs="Calibri"/>
          <w:sz w:val="24"/>
          <w:szCs w:val="24"/>
        </w:rPr>
        <w:t xml:space="preserve"> (e.g. 2 %)</w:t>
      </w:r>
      <w:r w:rsidRPr="00AB5E39">
        <w:rPr>
          <w:rFonts w:cs="Calibri"/>
          <w:sz w:val="24"/>
          <w:szCs w:val="24"/>
        </w:rPr>
        <w:t>, and available resources</w:t>
      </w:r>
      <w:r w:rsidR="007924ED">
        <w:rPr>
          <w:rFonts w:cs="Calibri"/>
          <w:sz w:val="24"/>
          <w:szCs w:val="24"/>
        </w:rPr>
        <w:t xml:space="preserve"> (e.g. number of interviewers available)</w:t>
      </w:r>
      <w:r w:rsidRPr="00AB5E39">
        <w:rPr>
          <w:rFonts w:cs="Calibri"/>
          <w:sz w:val="24"/>
          <w:szCs w:val="24"/>
        </w:rPr>
        <w:t>.</w:t>
      </w:r>
    </w:p>
    <w:p w14:paraId="385540CA" w14:textId="66C91150" w:rsidR="00F42CAD" w:rsidRPr="00AB5E39" w:rsidRDefault="001B2C19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 both Armenia and Georgia</w:t>
      </w:r>
      <w:r w:rsidRPr="00AB5E3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u</w:t>
      </w:r>
      <w:r w:rsidR="00F42CAD" w:rsidRPr="00AB5E39">
        <w:rPr>
          <w:rFonts w:cs="Calibri"/>
          <w:sz w:val="24"/>
          <w:szCs w:val="24"/>
        </w:rPr>
        <w:t xml:space="preserve">rban and rural strata were </w:t>
      </w:r>
      <w:r w:rsidR="0096323B">
        <w:rPr>
          <w:rFonts w:cs="Calibri"/>
          <w:sz w:val="24"/>
          <w:szCs w:val="24"/>
        </w:rPr>
        <w:t>substratified</w:t>
      </w:r>
      <w:r w:rsidR="00F42CAD" w:rsidRPr="00AB5E39">
        <w:rPr>
          <w:rFonts w:cs="Calibri"/>
          <w:sz w:val="24"/>
          <w:szCs w:val="24"/>
        </w:rPr>
        <w:t xml:space="preserve"> by four geographic regions (‘quadrants’): north-east, north-west, south-east, and south-west. Sample sizes for each stratum were allocated between these four geographic substrata proportional to their relative population sizes, as obtained from the Central Election Commissions of Armenia</w:t>
      </w:r>
      <w:r w:rsidR="0096323B">
        <w:rPr>
          <w:rFonts w:cs="Calibri"/>
          <w:sz w:val="24"/>
          <w:szCs w:val="24"/>
        </w:rPr>
        <w:t xml:space="preserve"> </w:t>
      </w:r>
      <w:r w:rsidR="00F42CAD" w:rsidRPr="00AB5E39">
        <w:rPr>
          <w:rFonts w:cs="Calibri"/>
          <w:sz w:val="24"/>
          <w:szCs w:val="24"/>
        </w:rPr>
        <w:t>and Georgia. This practice ensures that urban and rural settlements from the large areas of the countr</w:t>
      </w:r>
      <w:r>
        <w:rPr>
          <w:rFonts w:cs="Calibri"/>
          <w:sz w:val="24"/>
          <w:szCs w:val="24"/>
        </w:rPr>
        <w:t>ies</w:t>
      </w:r>
      <w:r w:rsidR="00F42CAD" w:rsidRPr="00AB5E39">
        <w:rPr>
          <w:rFonts w:cs="Calibri"/>
          <w:sz w:val="24"/>
          <w:szCs w:val="24"/>
        </w:rPr>
        <w:t xml:space="preserve"> </w:t>
      </w:r>
      <w:r w:rsidR="007924ED">
        <w:rPr>
          <w:rFonts w:ascii="Sylfaen" w:hAnsi="Sylfaen" w:cs="Calibri"/>
          <w:sz w:val="24"/>
          <w:szCs w:val="24"/>
          <w:lang w:val="ka-GE"/>
        </w:rPr>
        <w:t>(N</w:t>
      </w:r>
      <w:r w:rsidR="007924ED">
        <w:rPr>
          <w:rFonts w:ascii="Sylfaen" w:hAnsi="Sylfaen" w:cs="Calibri"/>
          <w:sz w:val="24"/>
          <w:szCs w:val="24"/>
        </w:rPr>
        <w:t xml:space="preserve">orth-East, North-West, South-East, South West) </w:t>
      </w:r>
      <w:r w:rsidR="00F42CAD" w:rsidRPr="00AB5E39">
        <w:rPr>
          <w:rFonts w:cs="Calibri"/>
          <w:sz w:val="24"/>
          <w:szCs w:val="24"/>
        </w:rPr>
        <w:t xml:space="preserve">are not excluded from the sample due to random chance.  Survey results are not representative of the population of the particular geographic substrata – the results are representative for population of capitals, rural and urban settlements of the </w:t>
      </w:r>
      <w:r w:rsidR="00411771">
        <w:rPr>
          <w:rFonts w:cs="Calibri"/>
          <w:sz w:val="24"/>
          <w:szCs w:val="24"/>
        </w:rPr>
        <w:t>two</w:t>
      </w:r>
      <w:r w:rsidR="00411771" w:rsidRPr="00AB5E39">
        <w:rPr>
          <w:rFonts w:cs="Calibri"/>
          <w:sz w:val="24"/>
          <w:szCs w:val="24"/>
        </w:rPr>
        <w:t xml:space="preserve"> </w:t>
      </w:r>
      <w:r w:rsidR="00F42CAD" w:rsidRPr="00AB5E39">
        <w:rPr>
          <w:rFonts w:cs="Calibri"/>
          <w:sz w:val="24"/>
          <w:szCs w:val="24"/>
        </w:rPr>
        <w:t xml:space="preserve">countries. </w:t>
      </w:r>
    </w:p>
    <w:p w14:paraId="39A34F1D" w14:textId="23400DAE" w:rsidR="00F42CAD" w:rsidRDefault="00F42CAD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 w:rsidRPr="00AB5E39">
        <w:rPr>
          <w:rFonts w:cs="Calibri"/>
          <w:sz w:val="24"/>
          <w:szCs w:val="24"/>
        </w:rPr>
        <w:t xml:space="preserve">In each stratum, the </w:t>
      </w:r>
      <w:r w:rsidR="00411771">
        <w:rPr>
          <w:rFonts w:cs="Calibri"/>
          <w:sz w:val="24"/>
          <w:szCs w:val="24"/>
        </w:rPr>
        <w:t xml:space="preserve">targeted </w:t>
      </w:r>
      <w:r w:rsidRPr="00AB5E39">
        <w:rPr>
          <w:rFonts w:cs="Calibri"/>
          <w:sz w:val="24"/>
          <w:szCs w:val="24"/>
        </w:rPr>
        <w:t>sample size was adjusted based on expected non-response,</w:t>
      </w:r>
      <w:r w:rsidRPr="00AB5E39">
        <w:rPr>
          <w:rStyle w:val="FootnoteReference"/>
          <w:rFonts w:cs="Calibri"/>
          <w:sz w:val="24"/>
          <w:szCs w:val="24"/>
        </w:rPr>
        <w:footnoteReference w:id="1"/>
      </w:r>
      <w:r w:rsidRPr="00AB5E39">
        <w:rPr>
          <w:rFonts w:cs="Calibri"/>
          <w:sz w:val="24"/>
          <w:szCs w:val="24"/>
        </w:rPr>
        <w:t xml:space="preserve"> so that the interviewers contacted more households to get the targeted number of completed interviews. </w:t>
      </w:r>
    </w:p>
    <w:p w14:paraId="047CC826" w14:textId="42170F61" w:rsidR="002D70A5" w:rsidRPr="00AB5E39" w:rsidRDefault="002D70A5" w:rsidP="003A1FF4">
      <w:pPr>
        <w:pStyle w:val="Heading2"/>
        <w:spacing w:before="0" w:line="480" w:lineRule="auto"/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Clustering</w:t>
      </w:r>
    </w:p>
    <w:p w14:paraId="12A73DEE" w14:textId="77777777" w:rsidR="002D70A5" w:rsidRPr="00AB5E39" w:rsidRDefault="002D70A5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 w:rsidRPr="00AB5E39">
        <w:rPr>
          <w:rFonts w:cs="Calibri"/>
          <w:sz w:val="24"/>
          <w:szCs w:val="24"/>
        </w:rPr>
        <w:t xml:space="preserve">During the first stage of selection we sample electoral precincts (primary sampling units - PSU). These are sampled randomly in each substratum with probability proportional to the number of registered voters. </w:t>
      </w:r>
    </w:p>
    <w:p w14:paraId="34FF8F8E" w14:textId="77777777" w:rsidR="002D70A5" w:rsidRPr="00AB5E39" w:rsidRDefault="002D70A5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 w:rsidRPr="00AB5E39">
        <w:rPr>
          <w:rFonts w:cs="Calibri"/>
          <w:sz w:val="24"/>
          <w:szCs w:val="24"/>
        </w:rPr>
        <w:t xml:space="preserve">During the second stage, we select households (secondary sampling units) within the sampled precincts, using ‘random walk’ procedure. </w:t>
      </w:r>
    </w:p>
    <w:p w14:paraId="491EDB2F" w14:textId="1FD4934D" w:rsidR="005663AA" w:rsidRDefault="002D70A5" w:rsidP="003A1FF4">
      <w:pPr>
        <w:spacing w:after="0" w:line="480" w:lineRule="auto"/>
        <w:ind w:left="0" w:firstLine="0"/>
        <w:jc w:val="both"/>
        <w:rPr>
          <w:rFonts w:cs="Calibri"/>
          <w:sz w:val="24"/>
          <w:szCs w:val="24"/>
        </w:rPr>
      </w:pPr>
      <w:r w:rsidRPr="00AB5E39">
        <w:rPr>
          <w:rFonts w:cs="Calibri"/>
          <w:sz w:val="24"/>
          <w:szCs w:val="24"/>
        </w:rPr>
        <w:t>During the third stage</w:t>
      </w:r>
      <w:r w:rsidR="00411771">
        <w:rPr>
          <w:rFonts w:cs="Calibri"/>
          <w:sz w:val="24"/>
          <w:szCs w:val="24"/>
        </w:rPr>
        <w:t>,</w:t>
      </w:r>
      <w:r w:rsidRPr="00AB5E39">
        <w:rPr>
          <w:rFonts w:cs="Calibri"/>
          <w:sz w:val="24"/>
          <w:szCs w:val="24"/>
        </w:rPr>
        <w:t xml:space="preserve"> we select respondents (final sampling units) using</w:t>
      </w:r>
      <w:r w:rsidR="000660B9">
        <w:rPr>
          <w:rFonts w:cs="Calibri"/>
          <w:sz w:val="24"/>
          <w:szCs w:val="24"/>
        </w:rPr>
        <w:t xml:space="preserve"> </w:t>
      </w:r>
      <w:r w:rsidR="007924ED">
        <w:rPr>
          <w:rFonts w:ascii="Sylfaen" w:hAnsi="Sylfaen" w:cs="Calibri"/>
          <w:sz w:val="24"/>
          <w:szCs w:val="24"/>
        </w:rPr>
        <w:t xml:space="preserve">Randomized </w:t>
      </w:r>
      <w:r w:rsidR="000660B9">
        <w:rPr>
          <w:rFonts w:cs="Calibri"/>
          <w:sz w:val="24"/>
          <w:szCs w:val="24"/>
        </w:rPr>
        <w:t>Kish Tables</w:t>
      </w:r>
      <w:r w:rsidRPr="00AB5E39">
        <w:rPr>
          <w:rFonts w:cs="Calibri"/>
          <w:sz w:val="24"/>
          <w:szCs w:val="24"/>
        </w:rPr>
        <w:t>.</w:t>
      </w:r>
      <w:r w:rsidRPr="00AB5E39">
        <w:rPr>
          <w:rStyle w:val="FootnoteReference"/>
          <w:rFonts w:cs="Calibri"/>
          <w:sz w:val="24"/>
          <w:szCs w:val="24"/>
        </w:rPr>
        <w:footnoteReference w:id="2"/>
      </w:r>
      <w:r w:rsidRPr="00AB5E39">
        <w:rPr>
          <w:rFonts w:cs="Calibri"/>
          <w:sz w:val="24"/>
          <w:szCs w:val="24"/>
        </w:rPr>
        <w:t xml:space="preserve"> </w:t>
      </w:r>
    </w:p>
    <w:p w14:paraId="74BD910E" w14:textId="0B05243D" w:rsidR="00667CEE" w:rsidRDefault="00667CEE" w:rsidP="003A1FF4">
      <w:pPr>
        <w:pStyle w:val="Heading2"/>
        <w:spacing w:before="0" w:line="480" w:lineRule="auto"/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Sample size and estimated sampling errors</w:t>
      </w:r>
    </w:p>
    <w:p w14:paraId="71162AEC" w14:textId="5DEFE030" w:rsidR="00667CEE" w:rsidRDefault="00667CEE" w:rsidP="003A1FF4">
      <w:pPr>
        <w:spacing w:after="0" w:line="480" w:lineRule="auto"/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The </w:t>
      </w:r>
      <w:r w:rsidR="00FF4D71">
        <w:rPr>
          <w:rFonts w:cs="Calibri"/>
          <w:sz w:val="24"/>
          <w:szCs w:val="24"/>
        </w:rPr>
        <w:t xml:space="preserve">targeted </w:t>
      </w:r>
      <w:r>
        <w:rPr>
          <w:rFonts w:cs="Calibri"/>
          <w:sz w:val="24"/>
          <w:szCs w:val="24"/>
        </w:rPr>
        <w:t>sample sizes and estimated margins of error are summarized in the table below</w:t>
      </w:r>
    </w:p>
    <w:tbl>
      <w:tblPr>
        <w:tblW w:w="10575" w:type="dxa"/>
        <w:tblInd w:w="-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1116"/>
        <w:gridCol w:w="1594"/>
        <w:gridCol w:w="1637"/>
        <w:gridCol w:w="1530"/>
        <w:gridCol w:w="1530"/>
        <w:gridCol w:w="1753"/>
      </w:tblGrid>
      <w:tr w:rsidR="00432A9F" w:rsidRPr="00AB5E39" w14:paraId="0E06F773" w14:textId="77777777" w:rsidTr="00B44CFF">
        <w:trPr>
          <w:cantSplit/>
          <w:trHeight w:val="695"/>
        </w:trPr>
        <w:tc>
          <w:tcPr>
            <w:tcW w:w="1415" w:type="dxa"/>
            <w:shd w:val="clear" w:color="auto" w:fill="B8CCE4"/>
            <w:vAlign w:val="center"/>
          </w:tcPr>
          <w:p w14:paraId="265610F8" w14:textId="7777777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AB5E39">
              <w:rPr>
                <w:rFonts w:cs="Calibri"/>
                <w:b/>
                <w:sz w:val="24"/>
                <w:szCs w:val="24"/>
              </w:rPr>
              <w:t>Country</w:t>
            </w:r>
          </w:p>
        </w:tc>
        <w:tc>
          <w:tcPr>
            <w:tcW w:w="1116" w:type="dxa"/>
            <w:shd w:val="clear" w:color="auto" w:fill="B8CCE4"/>
            <w:vAlign w:val="center"/>
          </w:tcPr>
          <w:p w14:paraId="4ED5B343" w14:textId="7777777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AB5E39">
              <w:rPr>
                <w:rFonts w:cs="Calibri"/>
                <w:b/>
                <w:sz w:val="24"/>
                <w:szCs w:val="24"/>
              </w:rPr>
              <w:t>Stratum</w:t>
            </w:r>
          </w:p>
        </w:tc>
        <w:tc>
          <w:tcPr>
            <w:tcW w:w="1594" w:type="dxa"/>
            <w:shd w:val="clear" w:color="auto" w:fill="B8CCE4"/>
            <w:vAlign w:val="center"/>
          </w:tcPr>
          <w:p w14:paraId="774B01E1" w14:textId="3923BB27" w:rsidR="00667CEE" w:rsidRPr="00AB5E39" w:rsidRDefault="00FF4D7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Number</w:t>
            </w:r>
            <w:r w:rsidR="00667CEE" w:rsidRPr="00AB5E39">
              <w:rPr>
                <w:rFonts w:cs="Calibri"/>
                <w:b/>
                <w:sz w:val="24"/>
                <w:szCs w:val="24"/>
              </w:rPr>
              <w:t xml:space="preserve"> of sampled PSUs</w:t>
            </w:r>
          </w:p>
        </w:tc>
        <w:tc>
          <w:tcPr>
            <w:tcW w:w="1637" w:type="dxa"/>
            <w:shd w:val="clear" w:color="auto" w:fill="B8CCE4"/>
            <w:vAlign w:val="center"/>
          </w:tcPr>
          <w:p w14:paraId="13940E33" w14:textId="2ACF9A44" w:rsidR="00667CEE" w:rsidRPr="00AB5E39" w:rsidRDefault="00FF4D7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Number</w:t>
            </w:r>
            <w:r w:rsidR="00667CEE" w:rsidRPr="00AB5E39">
              <w:rPr>
                <w:rFonts w:cs="Calibri"/>
                <w:b/>
                <w:sz w:val="24"/>
                <w:szCs w:val="24"/>
              </w:rPr>
              <w:t xml:space="preserve"> of interview attempts per PSU</w:t>
            </w:r>
          </w:p>
        </w:tc>
        <w:tc>
          <w:tcPr>
            <w:tcW w:w="1530" w:type="dxa"/>
            <w:shd w:val="clear" w:color="auto" w:fill="B8CCE4"/>
            <w:vAlign w:val="center"/>
          </w:tcPr>
          <w:p w14:paraId="31F17EF0" w14:textId="7777777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AB5E39">
              <w:rPr>
                <w:rFonts w:cs="Calibri"/>
                <w:b/>
                <w:sz w:val="24"/>
                <w:szCs w:val="24"/>
              </w:rPr>
              <w:t>Step size</w:t>
            </w:r>
          </w:p>
        </w:tc>
        <w:tc>
          <w:tcPr>
            <w:tcW w:w="1530" w:type="dxa"/>
            <w:shd w:val="clear" w:color="auto" w:fill="B8CCE4"/>
            <w:vAlign w:val="center"/>
          </w:tcPr>
          <w:p w14:paraId="189F90CF" w14:textId="795DE709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AB5E39">
              <w:rPr>
                <w:rFonts w:cs="Calibri"/>
                <w:b/>
                <w:sz w:val="24"/>
                <w:szCs w:val="24"/>
              </w:rPr>
              <w:t xml:space="preserve">Total </w:t>
            </w:r>
            <w:r w:rsidR="00FF4D71">
              <w:rPr>
                <w:rFonts w:cs="Calibri"/>
                <w:b/>
                <w:sz w:val="24"/>
                <w:szCs w:val="24"/>
              </w:rPr>
              <w:t>number</w:t>
            </w:r>
            <w:r w:rsidRPr="00AB5E39">
              <w:rPr>
                <w:rFonts w:cs="Calibri"/>
                <w:b/>
                <w:sz w:val="24"/>
                <w:szCs w:val="24"/>
              </w:rPr>
              <w:t xml:space="preserve"> of interview attempts</w:t>
            </w:r>
          </w:p>
        </w:tc>
        <w:tc>
          <w:tcPr>
            <w:tcW w:w="1753" w:type="dxa"/>
            <w:shd w:val="clear" w:color="auto" w:fill="B8CCE4"/>
          </w:tcPr>
          <w:p w14:paraId="3C8323F3" w14:textId="3D1FF72A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Estimated m</w:t>
            </w:r>
            <w:r w:rsidRPr="00AB5E39">
              <w:rPr>
                <w:rFonts w:cs="Calibri"/>
                <w:b/>
                <w:sz w:val="24"/>
                <w:szCs w:val="24"/>
              </w:rPr>
              <w:t>argin of error</w:t>
            </w:r>
            <w:r w:rsidR="00FF4D71">
              <w:rPr>
                <w:rFonts w:cs="Calibri"/>
                <w:b/>
                <w:sz w:val="24"/>
                <w:szCs w:val="24"/>
              </w:rPr>
              <w:t xml:space="preserve"> (%)</w:t>
            </w:r>
          </w:p>
        </w:tc>
      </w:tr>
      <w:tr w:rsidR="00925CD1" w:rsidRPr="00AB5E39" w14:paraId="69F60632" w14:textId="77777777" w:rsidTr="00925CD1">
        <w:tc>
          <w:tcPr>
            <w:tcW w:w="1415" w:type="dxa"/>
            <w:vMerge w:val="restart"/>
          </w:tcPr>
          <w:p w14:paraId="3C4FA5E8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Armenia</w:t>
            </w:r>
          </w:p>
        </w:tc>
        <w:tc>
          <w:tcPr>
            <w:tcW w:w="1116" w:type="dxa"/>
          </w:tcPr>
          <w:p w14:paraId="569C98C9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Capital</w:t>
            </w:r>
          </w:p>
        </w:tc>
        <w:tc>
          <w:tcPr>
            <w:tcW w:w="1594" w:type="dxa"/>
            <w:vAlign w:val="bottom"/>
          </w:tcPr>
          <w:p w14:paraId="509E3940" w14:textId="6C646247" w:rsidR="00925CD1" w:rsidRPr="00925CD1" w:rsidRDefault="00925CD1" w:rsidP="003A1FF4">
            <w:pPr>
              <w:spacing w:after="0" w:line="480" w:lineRule="auto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925CD1">
              <w:rPr>
                <w:rFonts w:eastAsia="Times New Roman"/>
                <w:color w:val="000000"/>
              </w:rPr>
              <w:t>74</w:t>
            </w:r>
          </w:p>
        </w:tc>
        <w:tc>
          <w:tcPr>
            <w:tcW w:w="1637" w:type="dxa"/>
            <w:vAlign w:val="center"/>
          </w:tcPr>
          <w:p w14:paraId="61072B1C" w14:textId="1FE90B9D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sz w:val="24"/>
                <w:szCs w:val="24"/>
                <w:lang w:val="ka-GE"/>
              </w:rPr>
              <w:t>16</w:t>
            </w:r>
          </w:p>
        </w:tc>
        <w:tc>
          <w:tcPr>
            <w:tcW w:w="1530" w:type="dxa"/>
            <w:vAlign w:val="center"/>
          </w:tcPr>
          <w:p w14:paraId="6B0DA95C" w14:textId="469C46B7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sz w:val="24"/>
                <w:szCs w:val="24"/>
                <w:lang w:val="ka-GE"/>
              </w:rPr>
              <w:t>7</w:t>
            </w:r>
          </w:p>
        </w:tc>
        <w:tc>
          <w:tcPr>
            <w:tcW w:w="1530" w:type="dxa"/>
            <w:vAlign w:val="bottom"/>
          </w:tcPr>
          <w:p w14:paraId="0627269C" w14:textId="7462AA2F" w:rsidR="00925CD1" w:rsidRPr="00AB5E39" w:rsidRDefault="00925CD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color w:val="000000"/>
              </w:rPr>
              <w:t>1184</w:t>
            </w:r>
          </w:p>
        </w:tc>
        <w:tc>
          <w:tcPr>
            <w:tcW w:w="1753" w:type="dxa"/>
            <w:vAlign w:val="bottom"/>
          </w:tcPr>
          <w:p w14:paraId="2700EFA3" w14:textId="22753749" w:rsidR="00925CD1" w:rsidRPr="00AB5E39" w:rsidRDefault="00925CD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>
              <w:t>3.2</w:t>
            </w:r>
          </w:p>
        </w:tc>
      </w:tr>
      <w:tr w:rsidR="00925CD1" w:rsidRPr="00AB5E39" w14:paraId="40812DCF" w14:textId="77777777" w:rsidTr="00925CD1">
        <w:tc>
          <w:tcPr>
            <w:tcW w:w="1415" w:type="dxa"/>
            <w:vMerge/>
          </w:tcPr>
          <w:p w14:paraId="1E589F08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116" w:type="dxa"/>
          </w:tcPr>
          <w:p w14:paraId="48D9BAD7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Urban</w:t>
            </w:r>
          </w:p>
        </w:tc>
        <w:tc>
          <w:tcPr>
            <w:tcW w:w="1594" w:type="dxa"/>
            <w:vAlign w:val="bottom"/>
          </w:tcPr>
          <w:p w14:paraId="63E1A823" w14:textId="621B221F" w:rsidR="00925CD1" w:rsidRPr="00925CD1" w:rsidRDefault="00925CD1" w:rsidP="003A1FF4">
            <w:pPr>
              <w:spacing w:after="0" w:line="480" w:lineRule="auto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925CD1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1637" w:type="dxa"/>
            <w:vAlign w:val="center"/>
          </w:tcPr>
          <w:p w14:paraId="62FC4558" w14:textId="4A6F3FBB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sz w:val="24"/>
                <w:szCs w:val="24"/>
                <w:lang w:val="ka-GE"/>
              </w:rPr>
              <w:t>19</w:t>
            </w:r>
          </w:p>
        </w:tc>
        <w:tc>
          <w:tcPr>
            <w:tcW w:w="1530" w:type="dxa"/>
            <w:vAlign w:val="center"/>
          </w:tcPr>
          <w:p w14:paraId="02FD19C3" w14:textId="2DC76620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sz w:val="24"/>
                <w:szCs w:val="24"/>
                <w:lang w:val="ka-GE"/>
              </w:rPr>
              <w:t>7</w:t>
            </w:r>
          </w:p>
        </w:tc>
        <w:tc>
          <w:tcPr>
            <w:tcW w:w="1530" w:type="dxa"/>
            <w:vAlign w:val="bottom"/>
          </w:tcPr>
          <w:p w14:paraId="42D20AAF" w14:textId="0827BEBF" w:rsidR="00925CD1" w:rsidRPr="00AB5E39" w:rsidRDefault="00925CD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color w:val="000000"/>
              </w:rPr>
              <w:t>893</w:t>
            </w:r>
          </w:p>
        </w:tc>
        <w:tc>
          <w:tcPr>
            <w:tcW w:w="1753" w:type="dxa"/>
            <w:vAlign w:val="bottom"/>
          </w:tcPr>
          <w:p w14:paraId="0EF0A1F0" w14:textId="05D6BE78" w:rsidR="00925CD1" w:rsidRPr="00AB5E39" w:rsidRDefault="00925CD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>
              <w:t>3.2</w:t>
            </w:r>
          </w:p>
        </w:tc>
      </w:tr>
      <w:tr w:rsidR="00925CD1" w:rsidRPr="00AB5E39" w14:paraId="2697C1C3" w14:textId="77777777" w:rsidTr="00925CD1">
        <w:tc>
          <w:tcPr>
            <w:tcW w:w="1415" w:type="dxa"/>
            <w:vMerge/>
          </w:tcPr>
          <w:p w14:paraId="36C72BD3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14:paraId="11E91E63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Rural</w:t>
            </w:r>
          </w:p>
        </w:tc>
        <w:tc>
          <w:tcPr>
            <w:tcW w:w="1594" w:type="dxa"/>
            <w:vAlign w:val="bottom"/>
          </w:tcPr>
          <w:p w14:paraId="373F828C" w14:textId="45F8E17E" w:rsidR="00925CD1" w:rsidRPr="00925CD1" w:rsidRDefault="00925CD1" w:rsidP="003A1FF4">
            <w:pPr>
              <w:spacing w:after="0" w:line="480" w:lineRule="auto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925CD1"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1637" w:type="dxa"/>
            <w:vAlign w:val="center"/>
          </w:tcPr>
          <w:p w14:paraId="1A8012BF" w14:textId="28ECBD88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sz w:val="24"/>
                <w:szCs w:val="24"/>
                <w:lang w:val="ka-GE"/>
              </w:rPr>
              <w:t>17</w:t>
            </w:r>
          </w:p>
        </w:tc>
        <w:tc>
          <w:tcPr>
            <w:tcW w:w="1530" w:type="dxa"/>
            <w:vAlign w:val="center"/>
          </w:tcPr>
          <w:p w14:paraId="3E5BF3B7" w14:textId="66BEB1FE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sz w:val="24"/>
                <w:szCs w:val="24"/>
                <w:lang w:val="ka-GE"/>
              </w:rPr>
              <w:t>7</w:t>
            </w:r>
          </w:p>
        </w:tc>
        <w:tc>
          <w:tcPr>
            <w:tcW w:w="1530" w:type="dxa"/>
            <w:vAlign w:val="bottom"/>
          </w:tcPr>
          <w:p w14:paraId="68A19483" w14:textId="77CD47A0" w:rsidR="00925CD1" w:rsidRPr="00AB5E39" w:rsidRDefault="00925CD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color w:val="000000"/>
              </w:rPr>
              <w:t>748</w:t>
            </w:r>
          </w:p>
        </w:tc>
        <w:tc>
          <w:tcPr>
            <w:tcW w:w="1753" w:type="dxa"/>
            <w:vAlign w:val="bottom"/>
          </w:tcPr>
          <w:p w14:paraId="19CB480C" w14:textId="1A55B7FF" w:rsidR="00925CD1" w:rsidRPr="00AB5E39" w:rsidRDefault="00925CD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>
              <w:t>3.2</w:t>
            </w:r>
          </w:p>
        </w:tc>
      </w:tr>
      <w:tr w:rsidR="00925CD1" w:rsidRPr="00AB5E39" w14:paraId="59FC780F" w14:textId="77777777" w:rsidTr="00925CD1">
        <w:tc>
          <w:tcPr>
            <w:tcW w:w="1415" w:type="dxa"/>
            <w:vMerge/>
            <w:tcBorders>
              <w:bottom w:val="single" w:sz="4" w:space="0" w:color="auto"/>
            </w:tcBorders>
          </w:tcPr>
          <w:p w14:paraId="26F121AB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bottom w:val="single" w:sz="4" w:space="0" w:color="auto"/>
            </w:tcBorders>
            <w:shd w:val="clear" w:color="auto" w:fill="DBE5F1"/>
          </w:tcPr>
          <w:p w14:paraId="0BA57012" w14:textId="77777777" w:rsidR="00925CD1" w:rsidRPr="00AB5E39" w:rsidRDefault="00925CD1" w:rsidP="003A1FF4">
            <w:pPr>
              <w:spacing w:after="0" w:line="480" w:lineRule="auto"/>
              <w:ind w:left="0" w:firstLine="0"/>
              <w:rPr>
                <w:rFonts w:cs="Calibri"/>
                <w:b/>
                <w:sz w:val="24"/>
                <w:szCs w:val="24"/>
              </w:rPr>
            </w:pPr>
            <w:r w:rsidRPr="00AB5E39">
              <w:rPr>
                <w:rFonts w:cs="Calibri"/>
                <w:b/>
                <w:sz w:val="24"/>
                <w:szCs w:val="24"/>
              </w:rPr>
              <w:t>Total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64C918EF" w14:textId="3A4C65C5" w:rsidR="00925CD1" w:rsidRPr="00DE434E" w:rsidRDefault="00925CD1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b/>
                <w:sz w:val="24"/>
                <w:szCs w:val="24"/>
                <w:lang w:val="ka-GE"/>
              </w:rPr>
            </w:pPr>
            <w:r>
              <w:rPr>
                <w:rFonts w:ascii="Sylfaen" w:hAnsi="Sylfaen" w:cs="Calibri"/>
                <w:b/>
                <w:sz w:val="24"/>
                <w:szCs w:val="24"/>
                <w:lang w:val="ka-GE"/>
              </w:rPr>
              <w:t>165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11CE8416" w14:textId="408C9395" w:rsidR="00925CD1" w:rsidRPr="00AB5E39" w:rsidRDefault="00FF4D7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n/a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3AADEBC0" w14:textId="6C068515" w:rsidR="00925CD1" w:rsidRPr="00AB5E39" w:rsidRDefault="00FF4D7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n/a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3D3A0196" w14:textId="1941C5B4" w:rsidR="00925CD1" w:rsidRPr="00AB5E39" w:rsidRDefault="00925CD1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DE434E">
              <w:rPr>
                <w:rFonts w:eastAsia="Times New Roman"/>
                <w:b/>
                <w:color w:val="000000"/>
              </w:rPr>
              <w:t>2825</w:t>
            </w:r>
          </w:p>
        </w:tc>
        <w:tc>
          <w:tcPr>
            <w:tcW w:w="1753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755BB35A" w14:textId="6580602A" w:rsidR="00925CD1" w:rsidRPr="00AB5E39" w:rsidRDefault="00925CD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color w:val="000000"/>
              </w:rPr>
              <w:t>1.8</w:t>
            </w:r>
          </w:p>
        </w:tc>
      </w:tr>
      <w:tr w:rsidR="00432A9F" w:rsidRPr="00AB5E39" w14:paraId="0BD3AC68" w14:textId="77777777" w:rsidTr="00B44CFF">
        <w:tc>
          <w:tcPr>
            <w:tcW w:w="1415" w:type="dxa"/>
            <w:vMerge w:val="restart"/>
          </w:tcPr>
          <w:p w14:paraId="4596B4BC" w14:textId="77777777" w:rsidR="00667CEE" w:rsidRPr="00AB5E39" w:rsidRDefault="00667CEE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Georgia</w:t>
            </w:r>
          </w:p>
        </w:tc>
        <w:tc>
          <w:tcPr>
            <w:tcW w:w="1116" w:type="dxa"/>
          </w:tcPr>
          <w:p w14:paraId="41A06F9B" w14:textId="77777777" w:rsidR="00667CEE" w:rsidRPr="00AB5E39" w:rsidRDefault="00667CEE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Capital</w:t>
            </w:r>
          </w:p>
        </w:tc>
        <w:tc>
          <w:tcPr>
            <w:tcW w:w="1594" w:type="dxa"/>
            <w:vAlign w:val="bottom"/>
          </w:tcPr>
          <w:p w14:paraId="42E668F2" w14:textId="4641A9C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1637" w:type="dxa"/>
            <w:vAlign w:val="bottom"/>
          </w:tcPr>
          <w:p w14:paraId="1C54EB60" w14:textId="5AD1847B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1530" w:type="dxa"/>
            <w:vAlign w:val="center"/>
          </w:tcPr>
          <w:p w14:paraId="00D68517" w14:textId="7777777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1530" w:type="dxa"/>
            <w:vAlign w:val="center"/>
          </w:tcPr>
          <w:p w14:paraId="40BC7436" w14:textId="72368982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1752</w:t>
            </w:r>
          </w:p>
        </w:tc>
        <w:tc>
          <w:tcPr>
            <w:tcW w:w="1753" w:type="dxa"/>
            <w:vAlign w:val="bottom"/>
          </w:tcPr>
          <w:p w14:paraId="18C2FF95" w14:textId="08F623BF" w:rsidR="00667CEE" w:rsidRPr="00AB5E39" w:rsidRDefault="00667CEE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3.3</w:t>
            </w:r>
          </w:p>
        </w:tc>
      </w:tr>
      <w:tr w:rsidR="00432A9F" w:rsidRPr="00AB5E39" w14:paraId="53B4630D" w14:textId="77777777" w:rsidTr="00B44CFF">
        <w:tc>
          <w:tcPr>
            <w:tcW w:w="1415" w:type="dxa"/>
            <w:vMerge/>
          </w:tcPr>
          <w:p w14:paraId="5289CAE0" w14:textId="77777777" w:rsidR="00667CEE" w:rsidRPr="00AB5E39" w:rsidRDefault="00667CEE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116" w:type="dxa"/>
          </w:tcPr>
          <w:p w14:paraId="0B38DCF4" w14:textId="77777777" w:rsidR="00667CEE" w:rsidRPr="00AB5E39" w:rsidRDefault="00667CEE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Urban</w:t>
            </w:r>
          </w:p>
        </w:tc>
        <w:tc>
          <w:tcPr>
            <w:tcW w:w="1594" w:type="dxa"/>
            <w:vAlign w:val="bottom"/>
          </w:tcPr>
          <w:p w14:paraId="1F812D7F" w14:textId="0B727FC0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1637" w:type="dxa"/>
            <w:vAlign w:val="bottom"/>
          </w:tcPr>
          <w:p w14:paraId="39BB2519" w14:textId="14BDBFDC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1530" w:type="dxa"/>
            <w:vAlign w:val="center"/>
          </w:tcPr>
          <w:p w14:paraId="5B8B0041" w14:textId="7777777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1530" w:type="dxa"/>
            <w:vAlign w:val="center"/>
          </w:tcPr>
          <w:p w14:paraId="7E95A516" w14:textId="6D95DF8D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1040</w:t>
            </w:r>
          </w:p>
        </w:tc>
        <w:tc>
          <w:tcPr>
            <w:tcW w:w="1753" w:type="dxa"/>
            <w:vAlign w:val="bottom"/>
          </w:tcPr>
          <w:p w14:paraId="4DEB3746" w14:textId="65C60CDC" w:rsidR="00667CEE" w:rsidRPr="00AB5E39" w:rsidRDefault="00667CEE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3.4</w:t>
            </w:r>
          </w:p>
        </w:tc>
      </w:tr>
      <w:tr w:rsidR="00432A9F" w:rsidRPr="00AB5E39" w14:paraId="7E22CC87" w14:textId="77777777" w:rsidTr="00B44CFF">
        <w:tc>
          <w:tcPr>
            <w:tcW w:w="1415" w:type="dxa"/>
            <w:vMerge/>
          </w:tcPr>
          <w:p w14:paraId="4A48D5C5" w14:textId="77777777" w:rsidR="00667CEE" w:rsidRPr="00AB5E39" w:rsidRDefault="00667CEE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14:paraId="673DBD8E" w14:textId="77777777" w:rsidR="00667CEE" w:rsidRPr="00AB5E39" w:rsidRDefault="00667CEE" w:rsidP="003A1FF4">
            <w:pPr>
              <w:spacing w:after="0" w:line="480" w:lineRule="auto"/>
              <w:ind w:left="0" w:firstLine="0"/>
              <w:rPr>
                <w:rFonts w:cs="Calibri"/>
                <w:sz w:val="24"/>
                <w:szCs w:val="24"/>
              </w:rPr>
            </w:pPr>
            <w:r w:rsidRPr="00AB5E39">
              <w:rPr>
                <w:rFonts w:cs="Calibri"/>
                <w:sz w:val="24"/>
                <w:szCs w:val="24"/>
              </w:rPr>
              <w:t>Rural</w:t>
            </w:r>
          </w:p>
        </w:tc>
        <w:tc>
          <w:tcPr>
            <w:tcW w:w="1594" w:type="dxa"/>
            <w:vAlign w:val="bottom"/>
          </w:tcPr>
          <w:p w14:paraId="469DEC5E" w14:textId="64C585C3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1637" w:type="dxa"/>
            <w:vAlign w:val="bottom"/>
          </w:tcPr>
          <w:p w14:paraId="3381AEB0" w14:textId="25ADE737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1530" w:type="dxa"/>
            <w:vAlign w:val="center"/>
          </w:tcPr>
          <w:p w14:paraId="111755EE" w14:textId="79E82FC8" w:rsidR="00667CEE" w:rsidRPr="00DE434E" w:rsidRDefault="007924ED" w:rsidP="003A1FF4">
            <w:pPr>
              <w:spacing w:after="0" w:line="480" w:lineRule="auto"/>
              <w:ind w:left="0" w:firstLine="0"/>
              <w:jc w:val="center"/>
              <w:rPr>
                <w:rFonts w:ascii="Sylfaen" w:hAnsi="Sylfaen" w:cs="Calibri"/>
                <w:sz w:val="24"/>
                <w:szCs w:val="24"/>
              </w:rPr>
            </w:pPr>
            <w:r>
              <w:rPr>
                <w:rFonts w:ascii="Sylfaen" w:hAnsi="Sylfaen" w:cs="Calibri"/>
                <w:sz w:val="24"/>
                <w:szCs w:val="24"/>
              </w:rPr>
              <w:t xml:space="preserve">From </w:t>
            </w:r>
            <w:r w:rsidR="00667CEE">
              <w:rPr>
                <w:rFonts w:cs="Calibri"/>
                <w:sz w:val="24"/>
                <w:szCs w:val="24"/>
              </w:rPr>
              <w:t>4</w:t>
            </w:r>
            <w:r>
              <w:rPr>
                <w:rFonts w:cs="Calibri"/>
                <w:sz w:val="24"/>
                <w:szCs w:val="24"/>
              </w:rPr>
              <w:t xml:space="preserve"> to </w:t>
            </w:r>
            <w:r w:rsidR="00667CEE" w:rsidRPr="00AB5E39">
              <w:rPr>
                <w:rFonts w:cs="Calibri"/>
                <w:sz w:val="24"/>
                <w:szCs w:val="24"/>
              </w:rPr>
              <w:t>7</w:t>
            </w:r>
            <w:r w:rsidR="007F765F">
              <w:rPr>
                <w:rStyle w:val="FootnoteReference"/>
                <w:rFonts w:cs="Calibri"/>
                <w:sz w:val="24"/>
                <w:szCs w:val="24"/>
              </w:rPr>
              <w:footnoteReference w:id="3"/>
            </w:r>
          </w:p>
        </w:tc>
        <w:tc>
          <w:tcPr>
            <w:tcW w:w="1530" w:type="dxa"/>
            <w:vAlign w:val="center"/>
          </w:tcPr>
          <w:p w14:paraId="47484395" w14:textId="18AF9BA9" w:rsidR="00667CEE" w:rsidRPr="00AB5E39" w:rsidRDefault="00667CEE" w:rsidP="003A1FF4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1140</w:t>
            </w:r>
          </w:p>
        </w:tc>
        <w:tc>
          <w:tcPr>
            <w:tcW w:w="1753" w:type="dxa"/>
            <w:vAlign w:val="bottom"/>
          </w:tcPr>
          <w:p w14:paraId="3A5586D8" w14:textId="5B7E0005" w:rsidR="00667CEE" w:rsidRPr="00AB5E39" w:rsidRDefault="00667CEE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sz w:val="24"/>
                <w:szCs w:val="24"/>
              </w:rPr>
            </w:pPr>
            <w:r w:rsidRPr="00667CEE">
              <w:rPr>
                <w:rFonts w:eastAsia="Times New Roman"/>
                <w:color w:val="000000"/>
              </w:rPr>
              <w:t>3.4</w:t>
            </w:r>
          </w:p>
        </w:tc>
      </w:tr>
      <w:tr w:rsidR="00FF4D71" w:rsidRPr="00AB5E39" w14:paraId="101BF9F8" w14:textId="77777777" w:rsidTr="00B44CFF">
        <w:tc>
          <w:tcPr>
            <w:tcW w:w="1415" w:type="dxa"/>
            <w:vMerge/>
          </w:tcPr>
          <w:p w14:paraId="180D62DD" w14:textId="77777777" w:rsidR="00FF4D71" w:rsidRPr="00AB5E39" w:rsidRDefault="00FF4D71" w:rsidP="00FF4D71">
            <w:pPr>
              <w:spacing w:after="0" w:line="480" w:lineRule="auto"/>
              <w:ind w:left="0" w:firstLine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116" w:type="dxa"/>
            <w:shd w:val="clear" w:color="auto" w:fill="DBE5F1"/>
          </w:tcPr>
          <w:p w14:paraId="549669A9" w14:textId="77777777" w:rsidR="00FF4D71" w:rsidRPr="00AB5E39" w:rsidRDefault="00FF4D71" w:rsidP="00FF4D71">
            <w:pPr>
              <w:spacing w:after="0" w:line="480" w:lineRule="auto"/>
              <w:ind w:left="0" w:firstLine="0"/>
              <w:rPr>
                <w:rFonts w:cs="Calibri"/>
                <w:b/>
                <w:sz w:val="24"/>
                <w:szCs w:val="24"/>
              </w:rPr>
            </w:pPr>
            <w:r w:rsidRPr="00AB5E39">
              <w:rPr>
                <w:rFonts w:cs="Calibri"/>
                <w:b/>
                <w:sz w:val="24"/>
                <w:szCs w:val="24"/>
              </w:rPr>
              <w:t>Total</w:t>
            </w:r>
          </w:p>
        </w:tc>
        <w:tc>
          <w:tcPr>
            <w:tcW w:w="1594" w:type="dxa"/>
            <w:shd w:val="clear" w:color="auto" w:fill="DBE5F1"/>
            <w:vAlign w:val="bottom"/>
          </w:tcPr>
          <w:p w14:paraId="29606D22" w14:textId="6602D4A3" w:rsidR="00FF4D71" w:rsidRPr="00667CEE" w:rsidRDefault="00FF4D7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667CEE">
              <w:rPr>
                <w:rFonts w:eastAsia="Times New Roman"/>
                <w:b/>
                <w:color w:val="000000"/>
              </w:rPr>
              <w:t>182</w:t>
            </w:r>
          </w:p>
        </w:tc>
        <w:tc>
          <w:tcPr>
            <w:tcW w:w="1637" w:type="dxa"/>
            <w:shd w:val="clear" w:color="auto" w:fill="DBE5F1"/>
            <w:vAlign w:val="center"/>
          </w:tcPr>
          <w:p w14:paraId="73478B0A" w14:textId="637E330D" w:rsidR="00FF4D71" w:rsidRPr="00AB5E39" w:rsidRDefault="00FF4D7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n/a</w:t>
            </w:r>
          </w:p>
        </w:tc>
        <w:tc>
          <w:tcPr>
            <w:tcW w:w="1530" w:type="dxa"/>
            <w:shd w:val="clear" w:color="auto" w:fill="DBE5F1"/>
            <w:vAlign w:val="center"/>
          </w:tcPr>
          <w:p w14:paraId="1AADE8BC" w14:textId="7B795C40" w:rsidR="00FF4D71" w:rsidRPr="00AB5E39" w:rsidRDefault="00FF4D7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n/a</w:t>
            </w:r>
          </w:p>
        </w:tc>
        <w:tc>
          <w:tcPr>
            <w:tcW w:w="1530" w:type="dxa"/>
            <w:shd w:val="clear" w:color="auto" w:fill="DBE5F1"/>
            <w:vAlign w:val="center"/>
          </w:tcPr>
          <w:p w14:paraId="1CC62F91" w14:textId="4AFB291F" w:rsidR="00FF4D71" w:rsidRPr="00667CEE" w:rsidRDefault="00FF4D7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667CEE">
              <w:rPr>
                <w:rFonts w:eastAsia="Times New Roman"/>
                <w:b/>
                <w:color w:val="000000"/>
              </w:rPr>
              <w:t>3932</w:t>
            </w:r>
          </w:p>
        </w:tc>
        <w:tc>
          <w:tcPr>
            <w:tcW w:w="1753" w:type="dxa"/>
            <w:shd w:val="clear" w:color="auto" w:fill="DBE5F1"/>
            <w:vAlign w:val="bottom"/>
          </w:tcPr>
          <w:p w14:paraId="7A1B9B26" w14:textId="0BD39D1B" w:rsidR="00FF4D71" w:rsidRPr="00667CEE" w:rsidRDefault="00FF4D71" w:rsidP="00FF4D71">
            <w:pPr>
              <w:spacing w:after="0" w:line="480" w:lineRule="auto"/>
              <w:ind w:left="0" w:firstLine="0"/>
              <w:jc w:val="center"/>
              <w:rPr>
                <w:rFonts w:cs="Calibri"/>
                <w:b/>
                <w:sz w:val="24"/>
                <w:szCs w:val="24"/>
              </w:rPr>
            </w:pPr>
            <w:r w:rsidRPr="00667CEE">
              <w:rPr>
                <w:rFonts w:eastAsia="Times New Roman"/>
                <w:b/>
                <w:color w:val="000000"/>
              </w:rPr>
              <w:t>2.0</w:t>
            </w:r>
          </w:p>
        </w:tc>
      </w:tr>
    </w:tbl>
    <w:p w14:paraId="10FEC968" w14:textId="77777777" w:rsidR="00787215" w:rsidRDefault="00787215" w:rsidP="003A1FF4">
      <w:pPr>
        <w:pStyle w:val="Heading2"/>
        <w:spacing w:before="0" w:line="480" w:lineRule="auto"/>
        <w:ind w:left="0" w:firstLine="0"/>
      </w:pPr>
    </w:p>
    <w:p w14:paraId="1981589A" w14:textId="77777777" w:rsidR="00787215" w:rsidRDefault="00787215" w:rsidP="003A1FF4">
      <w:pPr>
        <w:pStyle w:val="Heading2"/>
        <w:spacing w:before="0" w:line="480" w:lineRule="auto"/>
        <w:ind w:left="0" w:firstLine="0"/>
      </w:pPr>
    </w:p>
    <w:p w14:paraId="7879AAF1" w14:textId="503ECDC1" w:rsidR="00667CEE" w:rsidRDefault="00667CEE" w:rsidP="003A1FF4">
      <w:pPr>
        <w:pStyle w:val="Heading2"/>
        <w:spacing w:before="0" w:line="480" w:lineRule="auto"/>
        <w:ind w:left="0" w:firstLine="0"/>
      </w:pPr>
      <w:r>
        <w:t>Changes</w:t>
      </w:r>
      <w:r w:rsidR="005663AA">
        <w:t xml:space="preserve"> </w:t>
      </w:r>
      <w:r w:rsidR="00542810">
        <w:t>compared to</w:t>
      </w:r>
      <w:r w:rsidR="005663AA">
        <w:t xml:space="preserve"> the 2013 Caucasus Barometer sampl</w:t>
      </w:r>
      <w:r w:rsidR="00FF4D71">
        <w:t>e</w:t>
      </w:r>
      <w:r w:rsidR="005663AA">
        <w:t xml:space="preserve"> design</w:t>
      </w:r>
    </w:p>
    <w:p w14:paraId="1230B9CE" w14:textId="4FD3863A" w:rsidR="00787215" w:rsidRDefault="00787215" w:rsidP="003A1FF4">
      <w:pPr>
        <w:spacing w:after="0" w:line="480" w:lineRule="auto"/>
        <w:ind w:left="0" w:firstLine="0"/>
      </w:pPr>
      <w:r>
        <w:t xml:space="preserve">The only change made in 2015 compared to the 2013 CB sample design is increase of the number of </w:t>
      </w:r>
      <w:r w:rsidRPr="00167019">
        <w:t xml:space="preserve">attempted interviews in the </w:t>
      </w:r>
      <w:r w:rsidR="00667CEE" w:rsidRPr="00167019">
        <w:t>Urban substratum</w:t>
      </w:r>
      <w:r w:rsidRPr="00167019">
        <w:t xml:space="preserve"> in Georgia – while this number of 12 in 2013, it was increased </w:t>
      </w:r>
      <w:r w:rsidR="00BD1915" w:rsidRPr="00167019">
        <w:t>to 20</w:t>
      </w:r>
      <w:r w:rsidRPr="00167019">
        <w:t xml:space="preserve"> in 2015. </w:t>
      </w:r>
      <w:r w:rsidR="00BD1915" w:rsidRPr="00167019">
        <w:t xml:space="preserve">The reason for the change was the drop of the expected response rate. In </w:t>
      </w:r>
      <w:r w:rsidRPr="00167019">
        <w:t xml:space="preserve">the </w:t>
      </w:r>
      <w:r w:rsidR="00BD1915" w:rsidRPr="00167019">
        <w:t>2013 Caucasus Barometer</w:t>
      </w:r>
      <w:r w:rsidRPr="00167019">
        <w:t xml:space="preserve"> survey</w:t>
      </w:r>
      <w:r w:rsidR="00BD1915" w:rsidRPr="00167019">
        <w:t xml:space="preserve"> the response rat</w:t>
      </w:r>
      <w:bookmarkStart w:id="0" w:name="_GoBack"/>
      <w:bookmarkEnd w:id="0"/>
      <w:r w:rsidR="00BD1915" w:rsidRPr="00167019">
        <w:t>e</w:t>
      </w:r>
      <w:r w:rsidRPr="00167019">
        <w:t xml:space="preserve"> in this substratum</w:t>
      </w:r>
      <w:r w:rsidR="00BD1915" w:rsidRPr="00167019">
        <w:t xml:space="preserve"> was 81%</w:t>
      </w:r>
      <w:r w:rsidRPr="00167019">
        <w:t>,</w:t>
      </w:r>
      <w:r w:rsidR="00BD1915" w:rsidRPr="00167019">
        <w:t xml:space="preserve"> </w:t>
      </w:r>
      <w:r w:rsidRPr="00167019">
        <w:t xml:space="preserve">but </w:t>
      </w:r>
      <w:r w:rsidR="00BD1915" w:rsidRPr="00167019">
        <w:t xml:space="preserve">we expect 73% </w:t>
      </w:r>
      <w:r w:rsidRPr="00167019">
        <w:t>in 2015</w:t>
      </w:r>
      <w:r w:rsidR="00BD1915" w:rsidRPr="00167019">
        <w:t xml:space="preserve">. In order to achieve the similar number of </w:t>
      </w:r>
      <w:r w:rsidRPr="00167019">
        <w:t>completed</w:t>
      </w:r>
      <w:r>
        <w:t xml:space="preserve"> </w:t>
      </w:r>
      <w:r w:rsidR="00BD1915">
        <w:t>interviews as in CB 201</w:t>
      </w:r>
      <w:r>
        <w:t>5</w:t>
      </w:r>
      <w:r w:rsidR="00BD1915">
        <w:t>, we had to increase the</w:t>
      </w:r>
      <w:r w:rsidR="000660B9">
        <w:t xml:space="preserve"> targeted</w:t>
      </w:r>
      <w:r w:rsidR="00BD1915">
        <w:t xml:space="preserve"> sample size and the number of clusters, subsequently. Therefore we</w:t>
      </w:r>
      <w:r w:rsidR="00A65B97">
        <w:t xml:space="preserve"> </w:t>
      </w:r>
      <w:r w:rsidR="002D78E0">
        <w:rPr>
          <w:rFonts w:ascii="Sylfaen" w:hAnsi="Sylfaen"/>
        </w:rPr>
        <w:t>brought</w:t>
      </w:r>
      <w:r w:rsidR="00A65B97">
        <w:t xml:space="preserve"> the number of clusters to feasible number by</w:t>
      </w:r>
      <w:r w:rsidR="00BD1915">
        <w:t xml:space="preserve"> </w:t>
      </w:r>
      <w:r w:rsidR="00A65B97">
        <w:t>increasing the cluster sample size from 12 to 20 in urban stratum.</w:t>
      </w:r>
      <w:r w:rsidR="000660B9">
        <w:t xml:space="preserve"> </w:t>
      </w:r>
    </w:p>
    <w:p w14:paraId="4C7A1256" w14:textId="4E197DA5" w:rsidR="00BD1915" w:rsidRPr="0006170E" w:rsidRDefault="002D78E0" w:rsidP="003A1FF4">
      <w:pPr>
        <w:spacing w:after="0" w:line="480" w:lineRule="auto"/>
        <w:ind w:left="0" w:firstLine="0"/>
        <w:rPr>
          <w:rFonts w:asciiTheme="minorHAnsi" w:hAnsiTheme="minorHAnsi"/>
        </w:rPr>
      </w:pPr>
      <w:r w:rsidRPr="0006170E">
        <w:rPr>
          <w:rFonts w:asciiTheme="minorHAnsi" w:hAnsiTheme="minorHAnsi"/>
          <w:lang w:val="ka-GE"/>
        </w:rPr>
        <w:t>N</w:t>
      </w:r>
      <w:r w:rsidRPr="0006170E">
        <w:rPr>
          <w:rFonts w:asciiTheme="minorHAnsi" w:hAnsiTheme="minorHAnsi"/>
        </w:rPr>
        <w:t>o ch</w:t>
      </w:r>
      <w:r w:rsidR="001B2C19" w:rsidRPr="0006170E">
        <w:rPr>
          <w:rFonts w:asciiTheme="minorHAnsi" w:hAnsiTheme="minorHAnsi"/>
        </w:rPr>
        <w:t>a</w:t>
      </w:r>
      <w:r w:rsidRPr="0006170E">
        <w:rPr>
          <w:rFonts w:asciiTheme="minorHAnsi" w:hAnsiTheme="minorHAnsi"/>
        </w:rPr>
        <w:t>nges were made other strata</w:t>
      </w:r>
      <w:r w:rsidR="001B2C19" w:rsidRPr="0006170E">
        <w:rPr>
          <w:rFonts w:asciiTheme="minorHAnsi" w:hAnsiTheme="minorHAnsi"/>
        </w:rPr>
        <w:t xml:space="preserve"> in Georgia</w:t>
      </w:r>
      <w:r w:rsidR="00FF4D71">
        <w:rPr>
          <w:rFonts w:asciiTheme="minorHAnsi" w:hAnsiTheme="minorHAnsi"/>
        </w:rPr>
        <w:t xml:space="preserve"> and </w:t>
      </w:r>
      <w:r w:rsidR="00FF4D71" w:rsidRPr="00F4481C">
        <w:rPr>
          <w:rFonts w:asciiTheme="minorHAnsi" w:hAnsiTheme="minorHAnsi"/>
        </w:rPr>
        <w:t>in Armenia</w:t>
      </w:r>
      <w:r w:rsidRPr="0006170E">
        <w:rPr>
          <w:rFonts w:asciiTheme="minorHAnsi" w:hAnsiTheme="minorHAnsi"/>
        </w:rPr>
        <w:t xml:space="preserve">. </w:t>
      </w:r>
    </w:p>
    <w:sectPr w:rsidR="00BD1915" w:rsidRPr="000617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7CD60" w14:textId="77777777" w:rsidR="00A61541" w:rsidRDefault="00A61541" w:rsidP="005663AA">
      <w:pPr>
        <w:spacing w:after="0"/>
      </w:pPr>
      <w:r>
        <w:separator/>
      </w:r>
    </w:p>
  </w:endnote>
  <w:endnote w:type="continuationSeparator" w:id="0">
    <w:p w14:paraId="100F8AFF" w14:textId="77777777" w:rsidR="00A61541" w:rsidRDefault="00A61541" w:rsidP="005663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8FCB2" w14:textId="77777777" w:rsidR="00A61541" w:rsidRDefault="00A61541" w:rsidP="005663AA">
      <w:pPr>
        <w:spacing w:after="0"/>
      </w:pPr>
      <w:r>
        <w:separator/>
      </w:r>
    </w:p>
  </w:footnote>
  <w:footnote w:type="continuationSeparator" w:id="0">
    <w:p w14:paraId="4591CF84" w14:textId="77777777" w:rsidR="00A61541" w:rsidRDefault="00A61541" w:rsidP="005663AA">
      <w:pPr>
        <w:spacing w:after="0"/>
      </w:pPr>
      <w:r>
        <w:continuationSeparator/>
      </w:r>
    </w:p>
  </w:footnote>
  <w:footnote w:id="1">
    <w:p w14:paraId="33D30D78" w14:textId="77777777" w:rsidR="00F42CAD" w:rsidRPr="00F55974" w:rsidRDefault="00F42CAD" w:rsidP="00F42CAD">
      <w:pPr>
        <w:pStyle w:val="FootnoteText"/>
        <w:spacing w:after="0"/>
        <w:ind w:left="0" w:firstLine="0"/>
      </w:pPr>
      <w:r w:rsidRPr="00F55974">
        <w:rPr>
          <w:rStyle w:val="FootnoteReference"/>
        </w:rPr>
        <w:footnoteRef/>
      </w:r>
      <w:r w:rsidRPr="00F55974">
        <w:t xml:space="preserve"> Expected non-response rate</w:t>
      </w:r>
      <w:r>
        <w:t>s</w:t>
      </w:r>
      <w:r w:rsidRPr="00F55974">
        <w:t xml:space="preserve"> for each stratum w</w:t>
      </w:r>
      <w:r>
        <w:t>ere</w:t>
      </w:r>
      <w:r w:rsidRPr="00F55974">
        <w:t xml:space="preserve"> calculated from the previous CB surveys.</w:t>
      </w:r>
    </w:p>
  </w:footnote>
  <w:footnote w:id="2">
    <w:p w14:paraId="42B8763B" w14:textId="77777777" w:rsidR="002D70A5" w:rsidRDefault="002D70A5" w:rsidP="002D70A5">
      <w:pPr>
        <w:pStyle w:val="FootnoteText"/>
        <w:spacing w:after="0"/>
        <w:ind w:left="0" w:firstLine="0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9A67FA">
          <w:rPr>
            <w:rStyle w:val="Hyperlink"/>
          </w:rPr>
          <w:t>http://koha.iset.ge/cgi-bin/koha/opac-detail.pl?biblionumber=1120</w:t>
        </w:r>
      </w:hyperlink>
      <w:r>
        <w:t xml:space="preserve"> p. 380-387. </w:t>
      </w:r>
    </w:p>
  </w:footnote>
  <w:footnote w:id="3">
    <w:p w14:paraId="1358C6F3" w14:textId="3F4CC4C5" w:rsidR="007F765F" w:rsidRDefault="007F765F" w:rsidP="00787215">
      <w:pPr>
        <w:pStyle w:val="FootnoteText"/>
        <w:ind w:left="90" w:hanging="90"/>
      </w:pPr>
      <w:r>
        <w:rPr>
          <w:rStyle w:val="FootnoteReference"/>
        </w:rPr>
        <w:footnoteRef/>
      </w:r>
      <w:r>
        <w:t xml:space="preserve"> The step size is 7 in most cases, however in some small PSUs it is not possible to sample the required number of HHs without reducing the step size.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3AA"/>
    <w:rsid w:val="00023202"/>
    <w:rsid w:val="0006170E"/>
    <w:rsid w:val="000660B9"/>
    <w:rsid w:val="00167019"/>
    <w:rsid w:val="001A2851"/>
    <w:rsid w:val="001B2C19"/>
    <w:rsid w:val="002D70A5"/>
    <w:rsid w:val="002D78E0"/>
    <w:rsid w:val="003A1FF4"/>
    <w:rsid w:val="003F17D6"/>
    <w:rsid w:val="00411771"/>
    <w:rsid w:val="00432A9F"/>
    <w:rsid w:val="0049064C"/>
    <w:rsid w:val="00542810"/>
    <w:rsid w:val="005663AA"/>
    <w:rsid w:val="005A48DD"/>
    <w:rsid w:val="00667CEE"/>
    <w:rsid w:val="0071398E"/>
    <w:rsid w:val="007470AC"/>
    <w:rsid w:val="00766AFA"/>
    <w:rsid w:val="00787215"/>
    <w:rsid w:val="007924ED"/>
    <w:rsid w:val="007F765F"/>
    <w:rsid w:val="0088390B"/>
    <w:rsid w:val="00925CD1"/>
    <w:rsid w:val="0096323B"/>
    <w:rsid w:val="00964573"/>
    <w:rsid w:val="00A61541"/>
    <w:rsid w:val="00A65B97"/>
    <w:rsid w:val="00B44CFF"/>
    <w:rsid w:val="00B94F77"/>
    <w:rsid w:val="00BD1915"/>
    <w:rsid w:val="00BD2CF4"/>
    <w:rsid w:val="00C15970"/>
    <w:rsid w:val="00CF5C9F"/>
    <w:rsid w:val="00DE434E"/>
    <w:rsid w:val="00F42CAD"/>
    <w:rsid w:val="00FB5179"/>
    <w:rsid w:val="00FF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22A0"/>
  <w15:chartTrackingRefBased/>
  <w15:docId w15:val="{CD399826-9720-4016-B180-C4BF09D5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3AA"/>
    <w:pPr>
      <w:spacing w:after="120" w:line="240" w:lineRule="auto"/>
      <w:ind w:left="2160" w:hanging="216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63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663A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67C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663A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rsid w:val="005663A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663A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rsid w:val="005663AA"/>
    <w:rPr>
      <w:vertAlign w:val="superscript"/>
    </w:rPr>
  </w:style>
  <w:style w:type="character" w:styleId="CommentReference">
    <w:name w:val="annotation reference"/>
    <w:unhideWhenUsed/>
    <w:rsid w:val="005663A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663A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663AA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uiPriority w:val="99"/>
    <w:unhideWhenUsed/>
    <w:rsid w:val="005663A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3A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3AA"/>
    <w:rPr>
      <w:rFonts w:ascii="Segoe UI" w:eastAsia="Calibr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663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67C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17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1771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924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koha.iset.ge/cgi-bin/koha/opac-detail.pl?biblionumber=11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5AC5B-3B56-4512-97A0-7CF6B6190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4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</dc:creator>
  <cp:keywords/>
  <dc:description/>
  <cp:lastModifiedBy>Melor</cp:lastModifiedBy>
  <cp:revision>22</cp:revision>
  <dcterms:created xsi:type="dcterms:W3CDTF">2015-09-29T07:05:00Z</dcterms:created>
  <dcterms:modified xsi:type="dcterms:W3CDTF">2025-06-27T10:42:00Z</dcterms:modified>
</cp:coreProperties>
</file>